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B4C" w:val="clear"/>
      </w:pPr>
      <w:r>
        <w:rPr>
          <w:rFonts w:ascii="Arial" w:cs="Arial" w:eastAsia="Arial" w:hAnsi="Arial"/>
          <w:sz w:val="4"/>
          <w:szCs w:val="4"/>
        </w:rPr>
        <w:t xml:space="preserve"> </w:t>
      </w:r>
    </w:p>
    <w:p>
      <w:pPr>
        <w:keepNext w:val="false"/>
        <w:jc w:val="center"/>
      </w:pPr>
      <w:r>
        <w:drawing>
          <wp:inline distT="0" distB="0" distL="0" distR="0">
            <wp:extent cx="2095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952500"/>
                    </a:xfrm>
                    <a:prstGeom prst="rect">
                      <a:avLst/>
                    </a:prstGeom>
                  </pic:spPr>
                </pic:pic>
              </a:graphicData>
            </a:graphic>
          </wp:inline>
        </w:drawing>
      </w:r>
    </w:p>
    <w:p/>
    <w:p>
      <w:pPr>
        <w:keepNext w:val="false"/>
        <w:spacing w:after="120"/>
        <w:jc w:val="center"/>
      </w:pPr>
      <w:r>
        <w:rPr>
          <w:rFonts w:ascii="Arial" w:cs="Arial" w:eastAsia="Arial" w:hAnsi="Arial"/>
          <w:b w:val="false"/>
          <w:bCs w:val="false"/>
          <w:i w:val="false"/>
          <w:iCs w:val="false"/>
          <w:color w:val="8E9DAE"/>
          <w:sz w:val="22"/>
          <w:szCs w:val="22"/>
        </w:rPr>
        <w:t xml:space="preserve">Experts spécialisés en Études et Conseils Ascenseurs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6"/>
              <w:left w:val="single" w:color="FF6B00" w:sz="6"/>
              <w:bottom w:val="single" w:color="FF6B00" w:sz="6"/>
              <w:right w:val="single" w:color="FF6B00" w:sz="6"/>
            </w:tcBorders>
            <w:shd w:fill="FF6B00" w:val="clear"/>
            <w:tcMar>
              <w:top w:type="dxa" w:w="160"/>
              <w:left w:type="dxa" w:w="300"/>
              <w:bottom w:type="dxa" w:w="160"/>
              <w:right w:type="dxa" w:w="300"/>
            </w:tcMar>
          </w:tcPr>
          <w:p>
            <w:pPr>
              <w:jc w:val="center"/>
            </w:pPr>
            <w:r>
              <w:rPr>
                <w:rFonts w:ascii="Arial" w:cs="Arial" w:eastAsia="Arial" w:hAnsi="Arial"/>
                <w:b/>
                <w:bCs/>
                <w:color w:val="FFFFFF"/>
                <w:sz w:val="36"/>
                <w:szCs w:val="36"/>
              </w:rPr>
              <w:t xml:space="preserve">OFFRE DE SERVICE</w:t>
            </w:r>
            <w:r>
              <w:br/>
              <w:t xml:space="preserve"/>
            </w:r>
            <w:r>
              <w:rPr>
                <w:rFonts w:ascii="Arial" w:cs="Arial" w:eastAsia="Arial" w:hAnsi="Arial"/>
                <w:b w:val="false"/>
                <w:bCs w:val="false"/>
                <w:color w:val="FFFFFF"/>
                <w:sz w:val="22"/>
                <w:szCs w:val="22"/>
              </w:rPr>
              <w:t xml:space="preserve">Mission Bureau d'Études Ascenseurs</w:t>
            </w:r>
            <w:r>
              <w:br/>
              <w:t xml:space="preserve"/>
            </w:r>
            <w:r>
              <w:rPr>
                <w:rFonts w:ascii="Arial" w:cs="Arial" w:eastAsia="Arial" w:hAnsi="Arial"/>
                <w:b/>
                <w:bCs/>
                <w:color w:val="FFFFFF"/>
                <w:sz w:val="22"/>
                <w:szCs w:val="22"/>
              </w:rPr>
              <w:t xml:space="preserve">Audit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2B4C" w:sz="6"/>
              <w:left w:val="single" w:color="1A2B4C" w:sz="6"/>
              <w:bottom w:val="single" w:color="1A2B4C" w:sz="6"/>
              <w:right w:val="single" w:color="1A2B4C" w:sz="6"/>
            </w:tcBorders>
            <w:shd w:fill="E8EDF4" w:val="clear"/>
            <w:tcMar>
              <w:top w:type="dxa" w:w="220"/>
              <w:left w:type="dxa" w:w="300"/>
              <w:bottom w:type="dxa" w:w="220"/>
              <w:right w:type="dxa" w:w="300"/>
            </w:tcMar>
          </w:tcPr>
          <w:p>
            <w:pPr>
              <w:jc w:val="center"/>
            </w:pPr>
            <w:r>
              <w:rPr>
                <w:rFonts w:ascii="Arial" w:cs="Arial" w:eastAsia="Arial" w:hAnsi="Arial"/>
                <w:b/>
                <w:bCs/>
                <w:color w:val="8E9DAE"/>
                <w:sz w:val="18"/>
                <w:szCs w:val="18"/>
              </w:rPr>
              <w:t xml:space="preserve">SITE</w:t>
            </w:r>
            <w:r>
              <w:br/>
              <w:t xml:space="preserve"/>
            </w:r>
            <w:r>
              <w:rPr>
                <w:rFonts w:ascii="Arial" w:cs="Arial" w:eastAsia="Arial" w:hAnsi="Arial"/>
                <w:b/>
                <w:bCs/>
                <w:color w:val="1A2B4C"/>
                <w:sz w:val="32"/>
                <w:szCs w:val="32"/>
              </w:rPr>
              <w:t xml:space="preserve">Residence Le Marais</w:t>
            </w:r>
            <w:r>
              <w:br/>
              <w:t xml:space="preserve"/>
            </w:r>
            <w:r>
              <w:rPr>
                <w:rFonts w:ascii="Arial" w:cs="Arial" w:eastAsia="Arial" w:hAnsi="Arial"/>
                <w:b w:val="false"/>
                <w:bCs w:val="false"/>
                <w:color w:val="8E9DAE"/>
                <w:sz w:val="22"/>
                <w:szCs w:val="22"/>
              </w:rPr>
              <w:t xml:space="preserve">12 rue du Marais, 75003 Paris</w:t>
            </w:r>
          </w:p>
        </w:tc>
      </w:tr>
    </w:tbl>
    <w:p/>
    <w:p>
      <w:pPr>
        <w:keepNext w:val="false"/>
        <w:jc w:val="center"/>
      </w:pPr>
      <w:r>
        <w:drawing>
          <wp:inline distT="0" distB="0" distL="0" distR="0">
            <wp:extent cx="24765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1428750"/>
                    </a:xfrm>
                    <a:prstGeom prst="rect">
                      <a:avLst/>
                    </a:prstGeom>
                  </pic:spPr>
                </pic:pic>
              </a:graphicData>
            </a:graphic>
          </wp:inline>
        </w:drawing>
      </w:r>
    </w:p>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2551"/>
        <w:gridCol w:w="6787"/>
      </w:tblGrid>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POUR</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Syndic Copropriete Le Marais</w:t>
            </w:r>
            <w:r>
              <w:br/>
              <w:t xml:space="preserve"/>
            </w:r>
            <w:r>
              <w:rPr>
                <w:rFonts w:ascii="Arial" w:cs="Arial" w:eastAsia="Arial" w:hAnsi="Arial"/>
                <w:b w:val="false"/>
                <w:bCs w:val="false"/>
                <w:color w:val="333333"/>
                <w:sz w:val="19"/>
                <w:szCs w:val="19"/>
              </w:rPr>
              <w:t xml:space="preserve">Conseil Syndical</w:t>
            </w:r>
          </w:p>
        </w:tc>
      </w:tr>
      <w:tr>
        <w:tc>
          <w:tcPr>
            <w:tcW w:type="dxa" w:w="255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REPRÉSENTÉ PAR</w:t>
            </w:r>
          </w:p>
        </w:tc>
        <w:tc>
          <w:tcPr>
            <w:tcW w:type="dxa" w:w="6787"/>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M. Jean Dupont (Syndic bénévole)</w:t>
            </w:r>
          </w:p>
        </w:tc>
      </w:tr>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DOSSIER ÉTABLI PAR</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Hatem LEMBARKI</w:t>
            </w:r>
          </w:p>
        </w:tc>
      </w:tr>
      <w:tr>
        <w:tc>
          <w:tcPr>
            <w:tcW w:type="dxa" w:w="255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DATE</w:t>
            </w:r>
          </w:p>
        </w:tc>
        <w:tc>
          <w:tcPr>
            <w:tcW w:type="dxa" w:w="6787"/>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15 septembre 2026</w:t>
            </w:r>
          </w:p>
        </w:tc>
      </w:tr>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RÉFÉRENCE</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LVO-A-26006</w:t>
            </w:r>
          </w:p>
        </w:tc>
      </w:tr>
    </w:tbl>
    <w:p>
      <w:pPr>
        <w:sectPr>
          <w:pgSz w:w="11906" w:h="16838" w:orient="portrait"/>
          <w:pgMar w:top="1440" w:right="1440" w:bottom="993" w:left="1440" w:header="708" w:footer="708" w:gutter="0"/>
          <w:pgNumType/>
          <w:docGrid w:linePitch="360"/>
        </w:sectPr>
      </w:pPr>
    </w:p>
    <w:p>
      <w:pPr>
        <w:keepNext w:val="false"/>
        <w:spacing w:after="120"/>
        <w:jc w:val="both"/>
      </w:pPr>
      <w:r>
        <w:rPr>
          <w:rFonts w:ascii="Arial" w:cs="Arial" w:eastAsia="Arial" w:hAnsi="Arial"/>
          <w:b w:val="false"/>
          <w:bCs w:val="false"/>
          <w:i w:val="false"/>
          <w:iCs w:val="false"/>
          <w:color w:val="000000"/>
          <w:sz w:val="20"/>
          <w:szCs w:val="20"/>
        </w:rPr>
        <w:t xml:space="preserve">Saint-Denis, le 15 septembre 2026</w:t>
      </w:r>
    </w:p>
    <w:p/>
    <w:p>
      <w:pPr>
        <w:keepNext w:val="false"/>
        <w:spacing w:after="120"/>
        <w:jc w:val="both"/>
      </w:pPr>
      <w:r>
        <w:rPr>
          <w:rFonts w:ascii="Arial" w:cs="Arial" w:eastAsia="Arial" w:hAnsi="Arial"/>
          <w:b/>
          <w:bCs/>
          <w:i w:val="false"/>
          <w:iCs w:val="false"/>
          <w:color w:val="000000"/>
          <w:sz w:val="20"/>
          <w:szCs w:val="20"/>
        </w:rPr>
        <w:t xml:space="preserve">Syndic Copropriete Le Marais</w:t>
      </w:r>
    </w:p>
    <w:p>
      <w:pPr>
        <w:keepNext w:val="false"/>
        <w:spacing w:after="120"/>
        <w:jc w:val="both"/>
      </w:pPr>
      <w:r>
        <w:rPr>
          <w:rFonts w:ascii="Arial" w:cs="Arial" w:eastAsia="Arial" w:hAnsi="Arial"/>
          <w:b w:val="false"/>
          <w:bCs w:val="false"/>
          <w:i w:val="false"/>
          <w:iCs w:val="false"/>
          <w:color w:val="000000"/>
          <w:sz w:val="20"/>
          <w:szCs w:val="20"/>
        </w:rPr>
        <w:t xml:space="preserve">Conseil Syndical</w:t>
      </w:r>
    </w:p>
    <w:p/>
    <w:p>
      <w:pPr>
        <w:keepNext w:val="false"/>
        <w:spacing w:after="120"/>
        <w:jc w:val="both"/>
      </w:pPr>
      <w:r>
        <w:rPr>
          <w:rFonts w:ascii="Arial" w:cs="Arial" w:eastAsia="Arial" w:hAnsi="Arial"/>
          <w:b w:val="false"/>
          <w:bCs w:val="false"/>
          <w:i w:val="false"/>
          <w:iCs w:val="false"/>
          <w:color w:val="333333"/>
          <w:sz w:val="20"/>
          <w:szCs w:val="20"/>
        </w:rPr>
        <w:t xml:space="preserve">À l'attention de M. Jean Dupont (Syndic bénévole)</w:t>
      </w:r>
    </w:p>
    <w:p/>
    <w:p>
      <w:pPr>
        <w:keepNext w:val="false"/>
        <w:spacing w:after="120"/>
        <w:jc w:val="both"/>
      </w:pPr>
      <w:r>
        <w:rPr>
          <w:rFonts w:ascii="Arial" w:cs="Arial" w:eastAsia="Arial" w:hAnsi="Arial"/>
          <w:b/>
          <w:bCs/>
          <w:i w:val="false"/>
          <w:iCs w:val="false"/>
          <w:color w:val="000000"/>
          <w:sz w:val="20"/>
          <w:szCs w:val="20"/>
        </w:rPr>
        <w:t xml:space="preserve">Réf : LVO-A-26006</w:t>
      </w:r>
    </w:p>
    <w:p>
      <w:pPr>
        <w:keepNext w:val="false"/>
        <w:spacing w:after="120"/>
        <w:jc w:val="both"/>
      </w:pPr>
      <w:r>
        <w:rPr>
          <w:rFonts w:ascii="Arial" w:cs="Arial" w:eastAsia="Arial" w:hAnsi="Arial"/>
          <w:b/>
          <w:bCs/>
          <w:i w:val="false"/>
          <w:iCs w:val="false"/>
          <w:color w:val="000000"/>
          <w:sz w:val="20"/>
          <w:szCs w:val="20"/>
        </w:rPr>
        <w:t xml:space="preserve">Objet : Mission de conseil et d'assistance technique — Residence Le Marais</w:t>
      </w:r>
    </w:p>
    <w:p/>
    <w:p>
      <w:pPr>
        <w:keepNext w:val="false"/>
        <w:spacing w:after="120"/>
        <w:jc w:val="both"/>
      </w:pPr>
      <w:r>
        <w:rPr>
          <w:rFonts w:ascii="Arial" w:cs="Arial" w:eastAsia="Arial" w:hAnsi="Arial"/>
          <w:b/>
          <w:bCs/>
          <w:i w:val="false"/>
          <w:iCs w:val="false"/>
          <w:color w:val="000000"/>
          <w:sz w:val="20"/>
          <w:szCs w:val="20"/>
        </w:rPr>
        <w:t xml:space="preserve">Mission : Audit</w:t>
      </w:r>
    </w:p>
    <w:p/>
    <w:p>
      <w:pPr>
        <w:keepNext w:val="false"/>
        <w:spacing w:after="120"/>
        <w:jc w:val="both"/>
      </w:pPr>
      <w:r>
        <w:rPr>
          <w:rFonts w:ascii="Arial" w:cs="Arial" w:eastAsia="Arial" w:hAnsi="Arial"/>
          <w:b w:val="false"/>
          <w:bCs w:val="false"/>
          <w:i w:val="false"/>
          <w:iCs w:val="false"/>
          <w:color w:val="000000"/>
          <w:sz w:val="20"/>
          <w:szCs w:val="20"/>
        </w:rPr>
        <w:t xml:space="preserve">Monsieur,</w:t>
      </w:r>
    </w:p>
    <w:p/>
    <w:p>
      <w:pPr>
        <w:keepNext w:val="false"/>
        <w:spacing w:after="120"/>
        <w:jc w:val="both"/>
      </w:pPr>
      <w:r>
        <w:rPr>
          <w:rFonts w:ascii="Arial" w:cs="Arial" w:eastAsia="Arial" w:hAnsi="Arial"/>
          <w:b w:val="false"/>
          <w:bCs w:val="false"/>
          <w:i w:val="false"/>
          <w:iCs w:val="false"/>
          <w:color w:val="000000"/>
          <w:sz w:val="20"/>
          <w:szCs w:val="20"/>
        </w:rPr>
        <w:t xml:space="preserve">Nous avons le plaisir de vous communiquer, ci-joint, notre meilleure proposition d'honoraires pour vous conseiller et vous assister en tant que BET Transports mécaniques dans le cadre de ce projet.</w:t>
      </w:r>
    </w:p>
    <w:p/>
    <w:p>
      <w:pPr>
        <w:keepNext w:val="false"/>
        <w:spacing w:after="120"/>
        <w:jc w:val="both"/>
      </w:pPr>
      <w:r>
        <w:rPr>
          <w:rFonts w:ascii="Arial" w:cs="Arial" w:eastAsia="Arial" w:hAnsi="Arial"/>
          <w:b w:val="false"/>
          <w:bCs w:val="false"/>
          <w:i w:val="false"/>
          <w:iCs w:val="false"/>
          <w:color w:val="000000"/>
          <w:sz w:val="20"/>
          <w:szCs w:val="20"/>
        </w:rPr>
        <w:t xml:space="preserve">LVO-INGENIERIE offre à ses clients une expertise de conseil spécialisée dans le domaine du transport vertical des biens et des personnes. Nos consultants expérimentés sont spécialisés dans les disciplines suivantes :</w:t>
      </w:r>
    </w:p>
    <w:p/>
    <w:p>
      <w:pPr>
        <w:spacing w:after="60"/>
        <w:ind w:left="360"/>
      </w:pPr>
      <w:r>
        <w:rPr>
          <w:rFonts w:ascii="Arial" w:cs="Arial" w:eastAsia="Arial" w:hAnsi="Arial"/>
          <w:sz w:val="20"/>
          <w:szCs w:val="20"/>
        </w:rPr>
        <w:t xml:space="preserve">• Transport vertical</w:t>
      </w:r>
    </w:p>
    <w:p>
      <w:pPr>
        <w:spacing w:after="60"/>
        <w:ind w:left="360"/>
      </w:pPr>
      <w:r>
        <w:rPr>
          <w:rFonts w:ascii="Arial" w:cs="Arial" w:eastAsia="Arial" w:hAnsi="Arial"/>
          <w:sz w:val="20"/>
          <w:szCs w:val="20"/>
        </w:rPr>
        <w:t xml:space="preserve">• Transport horizontal</w:t>
      </w:r>
    </w:p>
    <w:p>
      <w:pPr>
        <w:spacing w:after="60"/>
        <w:ind w:left="360"/>
      </w:pPr>
      <w:r>
        <w:rPr>
          <w:rFonts w:ascii="Arial" w:cs="Arial" w:eastAsia="Arial" w:hAnsi="Arial"/>
          <w:sz w:val="20"/>
          <w:szCs w:val="20"/>
        </w:rPr>
        <w:t xml:space="preserve">• Analyses de trafic</w:t>
      </w:r>
    </w:p>
    <w:p>
      <w:pPr>
        <w:spacing w:after="60"/>
        <w:ind w:left="360"/>
      </w:pPr>
      <w:r>
        <w:rPr>
          <w:rFonts w:ascii="Arial" w:cs="Arial" w:eastAsia="Arial" w:hAnsi="Arial"/>
          <w:sz w:val="20"/>
          <w:szCs w:val="20"/>
        </w:rPr>
        <w:t xml:space="preserve">• Gestion de projets Neufs et Modernisations</w:t>
      </w:r>
    </w:p>
    <w:p>
      <w:pPr>
        <w:spacing w:after="60"/>
        <w:ind w:left="360"/>
      </w:pPr>
      <w:r>
        <w:rPr>
          <w:rFonts w:ascii="Arial" w:cs="Arial" w:eastAsia="Arial" w:hAnsi="Arial"/>
          <w:sz w:val="20"/>
          <w:szCs w:val="20"/>
        </w:rPr>
        <w:t xml:space="preserve">• Maintenance Management</w:t>
      </w:r>
    </w:p>
    <w:p/>
    <w:p>
      <w:pPr>
        <w:keepNext w:val="false"/>
        <w:spacing w:after="120"/>
        <w:jc w:val="both"/>
      </w:pPr>
      <w:r>
        <w:rPr>
          <w:rFonts w:ascii="Arial" w:cs="Arial" w:eastAsia="Arial" w:hAnsi="Arial"/>
          <w:b w:val="false"/>
          <w:bCs w:val="false"/>
          <w:i w:val="false"/>
          <w:iCs w:val="false"/>
          <w:color w:val="000000"/>
          <w:sz w:val="20"/>
          <w:szCs w:val="20"/>
        </w:rPr>
        <w:t xml:space="preserve">L'ensemble des services proposés faisant partie de notre offre sont précisés dans le « Descriptif des services de consultation ». Notre document de synthèse intitulé « Informations aux Clients et Conditions Générales de Ventes » est également joint.</w:t>
      </w:r>
    </w:p>
    <w:p/>
    <w:p>
      <w:pPr>
        <w:keepNext w:val="false"/>
        <w:spacing w:after="120"/>
        <w:jc w:val="both"/>
      </w:pPr>
      <w:r>
        <w:rPr>
          <w:rFonts w:ascii="Arial" w:cs="Arial" w:eastAsia="Arial" w:hAnsi="Arial"/>
          <w:b w:val="false"/>
          <w:bCs w:val="false"/>
          <w:i w:val="false"/>
          <w:iCs w:val="false"/>
          <w:color w:val="000000"/>
          <w:sz w:val="20"/>
          <w:szCs w:val="20"/>
        </w:rPr>
        <w:t xml:space="preserve">Nous espérons avoir correctement interprété vos instructions et nous nous réjouissons de cette opportunité de mettre notre expertise à votre service.</w:t>
      </w:r>
    </w:p>
    <w:p/>
    <w:p>
      <w:pPr>
        <w:keepNext w:val="false"/>
        <w:spacing w:after="120"/>
        <w:jc w:val="both"/>
      </w:pPr>
      <w:r>
        <w:rPr>
          <w:rFonts w:ascii="Arial" w:cs="Arial" w:eastAsia="Arial" w:hAnsi="Arial"/>
          <w:b w:val="false"/>
          <w:bCs w:val="false"/>
          <w:i w:val="false"/>
          <w:iCs w:val="false"/>
          <w:color w:val="000000"/>
          <w:sz w:val="20"/>
          <w:szCs w:val="20"/>
        </w:rPr>
        <w:t xml:space="preserve">Afin de formaliser notre accord, nous vous demanderons de bien vouloir nous retourner un exemplaire de notre ordre de mission signé.</w:t>
      </w:r>
    </w:p>
    <w:p/>
    <w:p>
      <w:pPr>
        <w:keepNext w:val="false"/>
        <w:spacing w:after="120"/>
        <w:jc w:val="both"/>
      </w:pPr>
      <w:r>
        <w:rPr>
          <w:rFonts w:ascii="Arial" w:cs="Arial" w:eastAsia="Arial" w:hAnsi="Arial"/>
          <w:b w:val="false"/>
          <w:bCs w:val="false"/>
          <w:i w:val="false"/>
          <w:iCs w:val="false"/>
          <w:color w:val="000000"/>
          <w:sz w:val="20"/>
          <w:szCs w:val="20"/>
        </w:rPr>
        <w:t xml:space="preserve">N'hésitez pas à nous contacter pour toute information que vous jugerez nécessaire.</w:t>
      </w:r>
    </w:p>
    <w:p/>
    <w:p>
      <w:pPr>
        <w:keepNext w:val="false"/>
        <w:spacing w:after="120"/>
        <w:jc w:val="both"/>
      </w:pPr>
      <w:r>
        <w:rPr>
          <w:rFonts w:ascii="Arial" w:cs="Arial" w:eastAsia="Arial" w:hAnsi="Arial"/>
          <w:b w:val="false"/>
          <w:bCs w:val="false"/>
          <w:i w:val="false"/>
          <w:iCs w:val="false"/>
          <w:color w:val="000000"/>
          <w:sz w:val="20"/>
          <w:szCs w:val="20"/>
        </w:rPr>
        <w:t xml:space="preserve">Veuillez agréer, Monsieur, l'expression de nos respectueuses salutations.</w:t>
      </w:r>
    </w:p>
    <w:p/>
    <w:p>
      <w:pPr>
        <w:keepNext/>
        <w:spacing w:after="120"/>
        <w:jc w:val="both"/>
      </w:pPr>
      <w:r>
        <w:rPr>
          <w:rFonts w:ascii="Arial" w:cs="Arial" w:eastAsia="Arial" w:hAnsi="Arial"/>
          <w:b/>
          <w:bCs/>
          <w:i w:val="false"/>
          <w:iCs w:val="false"/>
          <w:color w:val="1A2B4C"/>
          <w:sz w:val="20"/>
          <w:szCs w:val="20"/>
        </w:rPr>
        <w:t xml:space="preserve">Hatem LEMBARKI</w:t>
      </w:r>
    </w:p>
    <w:p>
      <w:pPr>
        <w:keepNext/>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1619250"/>
                    </a:xfrm>
                    <a:prstGeom prst="rect">
                      <a:avLst/>
                    </a:prstGeom>
                  </pic:spPr>
                </pic:pic>
              </a:graphicData>
            </a:graphic>
          </wp:inline>
        </w:drawing>
      </w:r>
    </w:p>
    <w:p>
      <w:pPr>
        <w:keepNext w:val="false"/>
        <w:spacing w:after="120"/>
        <w:jc w:val="both"/>
      </w:pPr>
      <w:r>
        <w:rPr>
          <w:rFonts w:ascii="Arial" w:cs="Arial" w:eastAsia="Arial" w:hAnsi="Arial"/>
          <w:b w:val="false"/>
          <w:bCs w:val="false"/>
          <w:i w:val="false"/>
          <w:iCs w:val="false"/>
          <w:color w:val="8E9DAE"/>
          <w:sz w:val="18"/>
          <w:szCs w:val="18"/>
        </w:rPr>
        <w:t xml:space="preserve">Fondateur Gérant</w:t>
      </w:r>
    </w:p>
    <w:p>
      <w:pPr>
        <w:pageBreakBefore/>
      </w:pPr>
    </w:p>
    <w:p>
      <w:pPr>
        <w:pBdr>
          <w:bottom w:val="single" w:color="FF6B00" w:sz="6" w:space="4"/>
        </w:pBdr>
        <w:spacing w:after="200"/>
      </w:pPr>
      <w:r>
        <w:rPr>
          <w:rFonts w:ascii="Arial" w:cs="Arial" w:eastAsia="Arial" w:hAnsi="Arial"/>
          <w:b/>
          <w:bCs/>
          <w:color w:val="1A2B4C"/>
          <w:sz w:val="26"/>
          <w:szCs w:val="26"/>
        </w:rPr>
        <w:t xml:space="preserve">DÉTAILS DE NOTRE OFFRE DE SERVICE</w:t>
      </w:r>
    </w:p>
    <w:p/>
    <w:p>
      <w:pPr>
        <w:keepNext w:val="false"/>
        <w:spacing w:after="120"/>
        <w:jc w:val="both"/>
      </w:pPr>
      <w:r>
        <w:rPr>
          <w:rFonts w:ascii="Arial" w:cs="Arial" w:eastAsia="Arial" w:hAnsi="Arial"/>
          <w:b w:val="false"/>
          <w:bCs w:val="false"/>
          <w:i w:val="false"/>
          <w:iCs w:val="false"/>
          <w:color w:val="000000"/>
          <w:sz w:val="20"/>
          <w:szCs w:val="20"/>
        </w:rPr>
        <w:t xml:space="preserve">LVO-INGENIERIE convient de fournir ses services d'assistance, d'étude et de conseil pour les équipements de transports mécaniques du Residence Le Marais situé 12 rue du Marais, 75003 Paris, comme indiqué ci-après.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12"/>
              <w:left w:val="single" w:color="FF6B00" w:sz="4"/>
              <w:bottom w:val="single" w:color="FF6B00" w:sz="12"/>
              <w:right w:val="single" w:color="FF6B00" w:sz="4"/>
            </w:tcBorders>
            <w:shd w:fill="FFF3E8" w:val="clear"/>
            <w:tcMar>
              <w:top w:type="dxa" w:w="180"/>
              <w:left w:type="dxa" w:w="280"/>
              <w:bottom w:type="dxa" w:w="180"/>
              <w:right w:type="dxa" w:w="280"/>
            </w:tcMar>
          </w:tcPr>
          <w:p>
            <w:r>
              <w:rPr>
                <w:rFonts w:ascii="Arial" w:cs="Arial" w:eastAsia="Arial" w:hAnsi="Arial"/>
                <w:b/>
                <w:bCs/>
                <w:color w:val="FF6B00"/>
                <w:sz w:val="20"/>
                <w:szCs w:val="20"/>
              </w:rPr>
              <w:t xml:space="preserve">Audit Complet</w:t>
            </w:r>
          </w:p>
        </w:tc>
      </w:tr>
    </w:tbl>
    <w:p>
      <w:pPr>
        <w:keepNext w:val="false"/>
        <w:spacing w:after="120"/>
        <w:jc w:val="both"/>
      </w:pPr>
      <w:r>
        <w:rPr>
          <w:rFonts w:ascii="Arial" w:cs="Arial" w:eastAsia="Arial" w:hAnsi="Arial"/>
          <w:b/>
          <w:bCs/>
          <w:i w:val="false"/>
          <w:iCs w:val="false"/>
          <w:color w:val="EA4E00"/>
          <w:sz w:val="22"/>
          <w:szCs w:val="22"/>
        </w:rPr>
        <w:t xml:space="preserve">Contenu de la Mission</w:t>
      </w:r>
    </w:p>
    <w:p>
      <w:pPr>
        <w:keepNext w:val="false"/>
        <w:spacing w:after="120"/>
        <w:jc w:val="both"/>
      </w:pPr>
      <w:r>
        <w:rPr>
          <w:rFonts w:ascii="Arial" w:cs="Arial" w:eastAsia="Arial" w:hAnsi="Arial"/>
          <w:b/>
          <w:bCs/>
          <w:i w:val="false"/>
          <w:iCs w:val="false"/>
          <w:color w:val="EA4E00"/>
          <w:sz w:val="22"/>
          <w:szCs w:val="22"/>
        </w:rPr>
        <w:t xml:space="preserve">1. Collecte et Analyse des Données</w:t>
      </w:r>
    </w:p>
    <w:p>
      <w:pPr>
        <w:spacing w:after="60" w:before="120"/>
      </w:pPr>
      <w:r>
        <w:rPr>
          <w:rFonts w:ascii="Arial" w:cs="Arial" w:eastAsia="Arial" w:hAnsi="Arial"/>
          <w:b/>
          <w:bCs/>
          <w:color w:val="EA4E00"/>
          <w:sz w:val="20"/>
          <w:szCs w:val="20"/>
        </w:rPr>
        <w:t xml:space="preserve">a. Inventaire des équipements</w:t>
      </w:r>
    </w:p>
    <w:p>
      <w:pPr>
        <w:keepNext w:val="false"/>
        <w:spacing w:after="120"/>
        <w:jc w:val="both"/>
      </w:pPr>
      <w:r>
        <w:rPr>
          <w:rFonts w:ascii="Arial" w:cs="Arial" w:eastAsia="Arial" w:hAnsi="Arial"/>
          <w:b w:val="false"/>
          <w:bCs w:val="false"/>
          <w:i w:val="false"/>
          <w:iCs w:val="false"/>
          <w:color w:val="000000"/>
          <w:sz w:val="20"/>
          <w:szCs w:val="20"/>
        </w:rPr>
        <w:t xml:space="preserve">Réalisation d'un inventaire détaillé de l'ensemble des équipements de transport vertical inclus dans la mission. Cet inventaire comprendra notamment :</w:t>
      </w:r>
    </w:p>
    <w:p>
      <w:pPr>
        <w:spacing w:after="60"/>
        <w:ind w:left="360"/>
      </w:pPr>
      <w:r>
        <w:rPr>
          <w:rFonts w:ascii="Arial" w:cs="Arial" w:eastAsia="Arial" w:hAnsi="Arial"/>
          <w:sz w:val="20"/>
          <w:szCs w:val="20"/>
        </w:rPr>
        <w:t xml:space="preserve">• La localisation de chaque appareil au sein du site ;</w:t>
      </w:r>
    </w:p>
    <w:p>
      <w:pPr>
        <w:spacing w:after="60"/>
        <w:ind w:left="360"/>
      </w:pPr>
      <w:r>
        <w:rPr>
          <w:rFonts w:ascii="Arial" w:cs="Arial" w:eastAsia="Arial" w:hAnsi="Arial"/>
          <w:sz w:val="20"/>
          <w:szCs w:val="20"/>
        </w:rPr>
        <w:t xml:space="preserve">• Les caractéristiques techniques principales ;</w:t>
      </w:r>
    </w:p>
    <w:p>
      <w:pPr>
        <w:spacing w:after="60"/>
        <w:ind w:left="360"/>
      </w:pPr>
      <w:r>
        <w:rPr>
          <w:rFonts w:ascii="Arial" w:cs="Arial" w:eastAsia="Arial" w:hAnsi="Arial"/>
          <w:sz w:val="20"/>
          <w:szCs w:val="20"/>
        </w:rPr>
        <w:t xml:space="preserve">• L'état général des installations ;</w:t>
      </w:r>
    </w:p>
    <w:p>
      <w:pPr>
        <w:spacing w:after="60"/>
        <w:ind w:left="360"/>
      </w:pPr>
      <w:r>
        <w:rPr>
          <w:rFonts w:ascii="Arial" w:cs="Arial" w:eastAsia="Arial" w:hAnsi="Arial"/>
          <w:sz w:val="20"/>
          <w:szCs w:val="20"/>
        </w:rPr>
        <w:t xml:space="preserve">• La pertinence des solutions de maintenance et de réparation actuellement mises en œuvre ;</w:t>
      </w:r>
    </w:p>
    <w:p>
      <w:pPr>
        <w:spacing w:after="60"/>
        <w:ind w:left="360"/>
      </w:pPr>
      <w:r>
        <w:rPr>
          <w:rFonts w:ascii="Arial" w:cs="Arial" w:eastAsia="Arial" w:hAnsi="Arial"/>
          <w:sz w:val="20"/>
          <w:szCs w:val="20"/>
        </w:rPr>
        <w:t xml:space="preserve">• Le niveau de conformité aux réglementations européennes et françaises en vigueur ;</w:t>
      </w:r>
    </w:p>
    <w:p>
      <w:pPr>
        <w:spacing w:after="60"/>
        <w:ind w:left="360"/>
      </w:pPr>
      <w:r>
        <w:rPr>
          <w:rFonts w:ascii="Arial" w:cs="Arial" w:eastAsia="Arial" w:hAnsi="Arial"/>
          <w:sz w:val="20"/>
          <w:szCs w:val="20"/>
        </w:rPr>
        <w:t xml:space="preserve">• La conformité aux exigences relatives à la sécurité et à la protection de la santé ;</w:t>
      </w:r>
    </w:p>
    <w:p>
      <w:pPr>
        <w:spacing w:after="60"/>
        <w:ind w:left="360"/>
      </w:pPr>
      <w:r>
        <w:rPr>
          <w:rFonts w:ascii="Arial" w:cs="Arial" w:eastAsia="Arial" w:hAnsi="Arial"/>
          <w:sz w:val="20"/>
          <w:szCs w:val="20"/>
        </w:rPr>
        <w:t xml:space="preserve">• L'appréciation de la fiabilité et de l'aspect général des équipements.</w:t>
      </w:r>
    </w:p>
    <w:p>
      <w:pPr>
        <w:spacing w:after="60" w:before="120"/>
      </w:pPr>
      <w:r>
        <w:rPr>
          <w:rFonts w:ascii="Arial" w:cs="Arial" w:eastAsia="Arial" w:hAnsi="Arial"/>
          <w:b/>
          <w:bCs/>
          <w:color w:val="EA4E00"/>
          <w:sz w:val="20"/>
          <w:szCs w:val="20"/>
        </w:rPr>
        <w:t xml:space="preserve">b. Évaluation technique des équipements</w:t>
      </w:r>
    </w:p>
    <w:p>
      <w:pPr>
        <w:keepNext w:val="false"/>
        <w:spacing w:after="120"/>
        <w:jc w:val="both"/>
      </w:pPr>
      <w:r>
        <w:rPr>
          <w:rFonts w:ascii="Arial" w:cs="Arial" w:eastAsia="Arial" w:hAnsi="Arial"/>
          <w:b w:val="false"/>
          <w:bCs w:val="false"/>
          <w:i w:val="false"/>
          <w:iCs w:val="false"/>
          <w:color w:val="000000"/>
          <w:sz w:val="20"/>
          <w:szCs w:val="20"/>
        </w:rPr>
        <w:t xml:space="preserve">Inspection approfondie de chaque appareil, accompagnée d'une analyse qualitative portant, selon la configuration des installations, sur les éléments suivants :</w:t>
      </w:r>
    </w:p>
    <w:p>
      <w:pPr>
        <w:spacing w:after="60"/>
        <w:ind w:left="360"/>
      </w:pPr>
      <w:r>
        <w:rPr>
          <w:rFonts w:ascii="Arial" w:cs="Arial" w:eastAsia="Arial" w:hAnsi="Arial"/>
          <w:sz w:val="20"/>
          <w:szCs w:val="20"/>
        </w:rPr>
        <w:t xml:space="preserve">• Qualité de fonctionnement, bruit et vibrations ;</w:t>
      </w:r>
    </w:p>
    <w:p>
      <w:pPr>
        <w:spacing w:after="60"/>
        <w:ind w:left="360"/>
      </w:pPr>
      <w:r>
        <w:rPr>
          <w:rFonts w:ascii="Arial" w:cs="Arial" w:eastAsia="Arial" w:hAnsi="Arial"/>
          <w:sz w:val="20"/>
          <w:szCs w:val="20"/>
        </w:rPr>
        <w:t xml:space="preserve">• Précision d'arrêt aux niveaux ;</w:t>
      </w:r>
    </w:p>
    <w:p>
      <w:pPr>
        <w:spacing w:after="60"/>
        <w:ind w:left="360"/>
      </w:pPr>
      <w:r>
        <w:rPr>
          <w:rFonts w:ascii="Arial" w:cs="Arial" w:eastAsia="Arial" w:hAnsi="Arial"/>
          <w:sz w:val="20"/>
          <w:szCs w:val="20"/>
        </w:rPr>
        <w:t xml:space="preserve">• Systèmes de détection des passagers ;</w:t>
      </w:r>
    </w:p>
    <w:p>
      <w:pPr>
        <w:spacing w:after="60"/>
        <w:ind w:left="360"/>
      </w:pPr>
      <w:r>
        <w:rPr>
          <w:rFonts w:ascii="Arial" w:cs="Arial" w:eastAsia="Arial" w:hAnsi="Arial"/>
          <w:sz w:val="20"/>
          <w:szCs w:val="20"/>
        </w:rPr>
        <w:t xml:space="preserve">• Fonctionnement des portes cabine et palières ;</w:t>
      </w:r>
    </w:p>
    <w:p>
      <w:pPr>
        <w:spacing w:after="60"/>
        <w:ind w:left="360"/>
      </w:pPr>
      <w:r>
        <w:rPr>
          <w:rFonts w:ascii="Arial" w:cs="Arial" w:eastAsia="Arial" w:hAnsi="Arial"/>
          <w:sz w:val="20"/>
          <w:szCs w:val="20"/>
        </w:rPr>
        <w:t xml:space="preserve">• Dispositifs d'alarme et système de téléalarme ;</w:t>
      </w:r>
    </w:p>
    <w:p>
      <w:pPr>
        <w:spacing w:after="60"/>
        <w:ind w:left="360"/>
      </w:pPr>
      <w:r>
        <w:rPr>
          <w:rFonts w:ascii="Arial" w:cs="Arial" w:eastAsia="Arial" w:hAnsi="Arial"/>
          <w:sz w:val="20"/>
          <w:szCs w:val="20"/>
        </w:rPr>
        <w:t xml:space="preserve">• État des finitions intérieures de la cabine ;</w:t>
      </w:r>
    </w:p>
    <w:p>
      <w:pPr>
        <w:spacing w:after="60"/>
        <w:ind w:left="360"/>
      </w:pPr>
      <w:r>
        <w:rPr>
          <w:rFonts w:ascii="Arial" w:cs="Arial" w:eastAsia="Arial" w:hAnsi="Arial"/>
          <w:sz w:val="20"/>
          <w:szCs w:val="20"/>
        </w:rPr>
        <w:t xml:space="preserve">• Fonctionnement des organes de commande ;</w:t>
      </w:r>
    </w:p>
    <w:p>
      <w:pPr>
        <w:spacing w:after="60"/>
        <w:ind w:left="360"/>
      </w:pPr>
      <w:r>
        <w:rPr>
          <w:rFonts w:ascii="Arial" w:cs="Arial" w:eastAsia="Arial" w:hAnsi="Arial"/>
          <w:sz w:val="20"/>
          <w:szCs w:val="20"/>
        </w:rPr>
        <w:t xml:space="preserve">• Éclairage de la cabine, de la machinerie et de la gaine ;</w:t>
      </w:r>
    </w:p>
    <w:p>
      <w:pPr>
        <w:spacing w:after="60"/>
        <w:ind w:left="360"/>
      </w:pPr>
      <w:r>
        <w:rPr>
          <w:rFonts w:ascii="Arial" w:cs="Arial" w:eastAsia="Arial" w:hAnsi="Arial"/>
          <w:sz w:val="20"/>
          <w:szCs w:val="20"/>
        </w:rPr>
        <w:t xml:space="preserve">• Propreté générale de l'installation ;</w:t>
      </w:r>
    </w:p>
    <w:p>
      <w:pPr>
        <w:spacing w:after="60"/>
        <w:ind w:left="360"/>
      </w:pPr>
      <w:r>
        <w:rPr>
          <w:rFonts w:ascii="Arial" w:cs="Arial" w:eastAsia="Arial" w:hAnsi="Arial"/>
          <w:sz w:val="20"/>
          <w:szCs w:val="20"/>
        </w:rPr>
        <w:t xml:space="preserve">• Signalisation réglementaire et notices d'utilisation ;</w:t>
      </w:r>
    </w:p>
    <w:p>
      <w:pPr>
        <w:spacing w:after="60"/>
        <w:ind w:left="360"/>
      </w:pPr>
      <w:r>
        <w:rPr>
          <w:rFonts w:ascii="Arial" w:cs="Arial" w:eastAsia="Arial" w:hAnsi="Arial"/>
          <w:sz w:val="20"/>
          <w:szCs w:val="20"/>
        </w:rPr>
        <w:t xml:space="preserve">• État du tableau de commande et de l'armoire de contrôle ;</w:t>
      </w:r>
    </w:p>
    <w:p>
      <w:pPr>
        <w:spacing w:after="60"/>
        <w:ind w:left="360"/>
      </w:pPr>
      <w:r>
        <w:rPr>
          <w:rFonts w:ascii="Arial" w:cs="Arial" w:eastAsia="Arial" w:hAnsi="Arial"/>
          <w:sz w:val="20"/>
          <w:szCs w:val="20"/>
        </w:rPr>
        <w:t xml:space="preserve">• État du système d'entraînement, de la pompe ou de la soupape hydraulique ;</w:t>
      </w:r>
    </w:p>
    <w:p>
      <w:pPr>
        <w:spacing w:after="60"/>
        <w:ind w:left="360"/>
      </w:pPr>
      <w:r>
        <w:rPr>
          <w:rFonts w:ascii="Arial" w:cs="Arial" w:eastAsia="Arial" w:hAnsi="Arial"/>
          <w:sz w:val="20"/>
          <w:szCs w:val="20"/>
        </w:rPr>
        <w:t xml:space="preserve">• État des poulies, câbles et organes mécaniques ;</w:t>
      </w:r>
    </w:p>
    <w:p>
      <w:pPr>
        <w:spacing w:after="60"/>
        <w:ind w:left="360"/>
      </w:pPr>
      <w:r>
        <w:rPr>
          <w:rFonts w:ascii="Arial" w:cs="Arial" w:eastAsia="Arial" w:hAnsi="Arial"/>
          <w:sz w:val="20"/>
          <w:szCs w:val="20"/>
        </w:rPr>
        <w:t xml:space="preserve">• Dispositifs de rappel et de secours ;</w:t>
      </w:r>
    </w:p>
    <w:p>
      <w:pPr>
        <w:spacing w:after="60"/>
        <w:ind w:left="360"/>
      </w:pPr>
      <w:r>
        <w:rPr>
          <w:rFonts w:ascii="Arial" w:cs="Arial" w:eastAsia="Arial" w:hAnsi="Arial"/>
          <w:sz w:val="20"/>
          <w:szCs w:val="20"/>
        </w:rPr>
        <w:t xml:space="preserve">• Mécanismes de déverrouillage d'urgence ;</w:t>
      </w:r>
    </w:p>
    <w:p>
      <w:pPr>
        <w:spacing w:after="60"/>
        <w:ind w:left="360"/>
      </w:pPr>
      <w:r>
        <w:rPr>
          <w:rFonts w:ascii="Arial" w:cs="Arial" w:eastAsia="Arial" w:hAnsi="Arial"/>
          <w:sz w:val="20"/>
          <w:szCs w:val="20"/>
        </w:rPr>
        <w:t xml:space="preserve">• État du toit de cabine ;</w:t>
      </w:r>
    </w:p>
    <w:p>
      <w:pPr>
        <w:spacing w:after="60"/>
        <w:ind w:left="360"/>
      </w:pPr>
      <w:r>
        <w:rPr>
          <w:rFonts w:ascii="Arial" w:cs="Arial" w:eastAsia="Arial" w:hAnsi="Arial"/>
          <w:sz w:val="20"/>
          <w:szCs w:val="20"/>
        </w:rPr>
        <w:t xml:space="preserve">• État de la fosse et de la gaine ;</w:t>
      </w:r>
    </w:p>
    <w:p>
      <w:pPr>
        <w:spacing w:after="60"/>
        <w:ind w:left="360"/>
      </w:pPr>
      <w:r>
        <w:rPr>
          <w:rFonts w:ascii="Arial" w:cs="Arial" w:eastAsia="Arial" w:hAnsi="Arial"/>
          <w:sz w:val="20"/>
          <w:szCs w:val="20"/>
        </w:rPr>
        <w:t xml:space="preserve">• État des équipements de sécurité et de l'ossature de la gaine.</w:t>
      </w:r>
    </w:p>
    <w:p>
      <w:pPr>
        <w:spacing w:after="60" w:before="120"/>
      </w:pPr>
      <w:r>
        <w:rPr>
          <w:rFonts w:ascii="Arial" w:cs="Arial" w:eastAsia="Arial" w:hAnsi="Arial"/>
          <w:b/>
          <w:bCs/>
          <w:color w:val="EA4E00"/>
          <w:sz w:val="20"/>
          <w:szCs w:val="20"/>
        </w:rPr>
        <w:t xml:space="preserve">c. Évaluation de la maintenance</w:t>
      </w:r>
    </w:p>
    <w:p>
      <w:pPr>
        <w:keepNext w:val="false"/>
        <w:spacing w:after="120"/>
        <w:jc w:val="both"/>
      </w:pPr>
      <w:r>
        <w:rPr>
          <w:rFonts w:ascii="Arial" w:cs="Arial" w:eastAsia="Arial" w:hAnsi="Arial"/>
          <w:b w:val="false"/>
          <w:bCs w:val="false"/>
          <w:i w:val="false"/>
          <w:iCs w:val="false"/>
          <w:color w:val="000000"/>
          <w:sz w:val="20"/>
          <w:szCs w:val="20"/>
        </w:rPr>
        <w:t xml:space="preserve">Analyse de la qualité de la maintenance actuellement réalisée, incluant :</w:t>
      </w:r>
    </w:p>
    <w:p>
      <w:pPr>
        <w:spacing w:after="60"/>
        <w:ind w:left="360"/>
      </w:pPr>
      <w:r>
        <w:rPr>
          <w:rFonts w:ascii="Arial" w:cs="Arial" w:eastAsia="Arial" w:hAnsi="Arial"/>
          <w:sz w:val="20"/>
          <w:szCs w:val="20"/>
        </w:rPr>
        <w:t xml:space="preserve">• Les opérations de nettoyage, lubrification et réglage ;</w:t>
      </w:r>
    </w:p>
    <w:p>
      <w:pPr>
        <w:spacing w:after="60"/>
        <w:ind w:left="360"/>
      </w:pPr>
      <w:r>
        <w:rPr>
          <w:rFonts w:ascii="Arial" w:cs="Arial" w:eastAsia="Arial" w:hAnsi="Arial"/>
          <w:sz w:val="20"/>
          <w:szCs w:val="20"/>
        </w:rPr>
        <w:t xml:space="preserve">• Le remplacement ou la réparation des composants défectueux ;</w:t>
      </w:r>
    </w:p>
    <w:p>
      <w:pPr>
        <w:spacing w:after="60"/>
        <w:ind w:left="360"/>
      </w:pPr>
      <w:r>
        <w:rPr>
          <w:rFonts w:ascii="Arial" w:cs="Arial" w:eastAsia="Arial" w:hAnsi="Arial"/>
          <w:sz w:val="20"/>
          <w:szCs w:val="20"/>
        </w:rPr>
        <w:t xml:space="preserve">• La fréquence et la pertinence des visites d'entretien ;</w:t>
      </w:r>
    </w:p>
    <w:p>
      <w:pPr>
        <w:spacing w:after="60"/>
        <w:ind w:left="360"/>
      </w:pPr>
      <w:r>
        <w:rPr>
          <w:rFonts w:ascii="Arial" w:cs="Arial" w:eastAsia="Arial" w:hAnsi="Arial"/>
          <w:sz w:val="20"/>
          <w:szCs w:val="20"/>
        </w:rPr>
        <w:t xml:space="preserve">• L'évaluation globale de la performance du prestataire de maintenance ;</w:t>
      </w:r>
    </w:p>
    <w:p>
      <w:pPr>
        <w:spacing w:after="60"/>
        <w:ind w:left="360"/>
      </w:pPr>
      <w:r>
        <w:rPr>
          <w:rFonts w:ascii="Arial" w:cs="Arial" w:eastAsia="Arial" w:hAnsi="Arial"/>
          <w:sz w:val="20"/>
          <w:szCs w:val="20"/>
        </w:rPr>
        <w:t xml:space="preserve">• Les constats techniques ;</w:t>
      </w:r>
    </w:p>
    <w:p>
      <w:pPr>
        <w:spacing w:after="60"/>
        <w:ind w:left="360"/>
      </w:pPr>
      <w:r>
        <w:rPr>
          <w:rFonts w:ascii="Arial" w:cs="Arial" w:eastAsia="Arial" w:hAnsi="Arial"/>
          <w:sz w:val="20"/>
          <w:szCs w:val="20"/>
        </w:rPr>
        <w:t xml:space="preserve">• Les observations relatives à la maintenance ;</w:t>
      </w:r>
    </w:p>
    <w:p>
      <w:pPr>
        <w:spacing w:after="60"/>
        <w:ind w:left="360"/>
      </w:pPr>
      <w:r>
        <w:rPr>
          <w:rFonts w:ascii="Arial" w:cs="Arial" w:eastAsia="Arial" w:hAnsi="Arial"/>
          <w:sz w:val="20"/>
          <w:szCs w:val="20"/>
        </w:rPr>
        <w:t xml:space="preserve">• La liste des actions correctives ou réglages à réaliser par l'entreprise de maintenance.</w:t>
      </w:r>
    </w:p>
    <w:p>
      <w:pPr>
        <w:spacing w:after="60" w:before="120"/>
      </w:pPr>
      <w:r>
        <w:rPr>
          <w:rFonts w:ascii="Arial" w:cs="Arial" w:eastAsia="Arial" w:hAnsi="Arial"/>
          <w:b/>
          <w:bCs/>
          <w:color w:val="EA4E00"/>
          <w:sz w:val="20"/>
          <w:szCs w:val="20"/>
        </w:rPr>
        <w:t xml:space="preserve">d. Vérification de la conformité réglementaire</w:t>
      </w:r>
    </w:p>
    <w:p>
      <w:pPr>
        <w:keepNext w:val="false"/>
        <w:spacing w:after="120"/>
        <w:jc w:val="both"/>
      </w:pPr>
      <w:r>
        <w:rPr>
          <w:rFonts w:ascii="Arial" w:cs="Arial" w:eastAsia="Arial" w:hAnsi="Arial"/>
          <w:b w:val="false"/>
          <w:bCs w:val="false"/>
          <w:i w:val="false"/>
          <w:iCs w:val="false"/>
          <w:color w:val="000000"/>
          <w:sz w:val="20"/>
          <w:szCs w:val="20"/>
        </w:rPr>
        <w:t xml:space="preserve">Analyse du niveau de conformité des installations :</w:t>
      </w:r>
    </w:p>
    <w:p>
      <w:pPr>
        <w:spacing w:after="60"/>
        <w:ind w:left="360"/>
      </w:pPr>
      <w:r>
        <w:rPr>
          <w:rFonts w:ascii="Arial" w:cs="Arial" w:eastAsia="Arial" w:hAnsi="Arial"/>
          <w:sz w:val="20"/>
          <w:szCs w:val="20"/>
        </w:rPr>
        <w:t xml:space="preserve">• Aux normes européennes applicables ;</w:t>
      </w:r>
    </w:p>
    <w:p>
      <w:pPr>
        <w:spacing w:after="60"/>
        <w:ind w:left="360"/>
      </w:pPr>
      <w:r>
        <w:rPr>
          <w:rFonts w:ascii="Arial" w:cs="Arial" w:eastAsia="Arial" w:hAnsi="Arial"/>
          <w:sz w:val="20"/>
          <w:szCs w:val="20"/>
        </w:rPr>
        <w:t xml:space="preserve">• À la réglementation française en vigueur ;</w:t>
      </w:r>
    </w:p>
    <w:p>
      <w:pPr>
        <w:spacing w:after="60"/>
        <w:ind w:left="360"/>
      </w:pPr>
      <w:r>
        <w:rPr>
          <w:rFonts w:ascii="Arial" w:cs="Arial" w:eastAsia="Arial" w:hAnsi="Arial"/>
          <w:sz w:val="20"/>
          <w:szCs w:val="20"/>
        </w:rPr>
        <w:t xml:space="preserve">• Aux exigences relatives à la sécurité des usagers et du personnel.</w:t>
      </w:r>
    </w:p>
    <w:p>
      <w:pPr>
        <w:keepNext w:val="false"/>
        <w:spacing w:after="120"/>
        <w:jc w:val="both"/>
      </w:pPr>
      <w:r>
        <w:rPr>
          <w:rFonts w:ascii="Arial" w:cs="Arial" w:eastAsia="Arial" w:hAnsi="Arial"/>
          <w:b w:val="false"/>
          <w:bCs w:val="false"/>
          <w:i w:val="false"/>
          <w:iCs w:val="false"/>
          <w:color w:val="000000"/>
          <w:sz w:val="20"/>
          <w:szCs w:val="20"/>
        </w:rPr>
        <w:t xml:space="preserve">Cette analyse sera complétée par des recommandations de mise en conformité et d'amélioration lorsque cela sera jugé nécessaire.</w:t>
      </w:r>
    </w:p>
    <w:p>
      <w:pPr>
        <w:keepNext w:val="false"/>
        <w:spacing w:after="120"/>
        <w:jc w:val="both"/>
      </w:pPr>
      <w:r>
        <w:rPr>
          <w:rFonts w:ascii="Arial" w:cs="Arial" w:eastAsia="Arial" w:hAnsi="Arial"/>
          <w:b/>
          <w:bCs/>
          <w:i w:val="false"/>
          <w:iCs w:val="false"/>
          <w:color w:val="EA4E00"/>
          <w:sz w:val="22"/>
          <w:szCs w:val="22"/>
        </w:rPr>
        <w:t xml:space="preserve">2. Rapport d'Audit</w:t>
      </w:r>
    </w:p>
    <w:p>
      <w:pPr>
        <w:keepNext w:val="false"/>
        <w:spacing w:after="120"/>
        <w:jc w:val="both"/>
      </w:pPr>
      <w:r>
        <w:rPr>
          <w:rFonts w:ascii="Arial" w:cs="Arial" w:eastAsia="Arial" w:hAnsi="Arial"/>
          <w:b w:val="false"/>
          <w:bCs w:val="false"/>
          <w:i w:val="false"/>
          <w:iCs w:val="false"/>
          <w:color w:val="000000"/>
          <w:sz w:val="20"/>
          <w:szCs w:val="20"/>
        </w:rPr>
        <w:t xml:space="preserve">À l'issue de la mission, LVO-INGENIERIE remettra un rapport écrit détaillé présentant les résultats de l'étude et les conclusions de la mission.</w:t>
      </w:r>
    </w:p>
    <w:p>
      <w:pPr>
        <w:keepNext w:val="false"/>
        <w:spacing w:after="120"/>
        <w:jc w:val="both"/>
      </w:pPr>
      <w:r>
        <w:rPr>
          <w:rFonts w:ascii="Arial" w:cs="Arial" w:eastAsia="Arial" w:hAnsi="Arial"/>
          <w:b w:val="false"/>
          <w:bCs w:val="false"/>
          <w:i w:val="false"/>
          <w:iCs w:val="false"/>
          <w:color w:val="000000"/>
          <w:sz w:val="20"/>
          <w:szCs w:val="20"/>
        </w:rPr>
        <w:t xml:space="preserve">Le rapport comprendra notamment :</w:t>
      </w:r>
    </w:p>
    <w:p>
      <w:pPr>
        <w:spacing w:after="60"/>
        <w:ind w:left="720"/>
      </w:pPr>
      <w:r>
        <w:rPr>
          <w:rFonts w:ascii="Arial" w:cs="Arial" w:eastAsia="Arial" w:hAnsi="Arial"/>
          <w:sz w:val="19"/>
          <w:szCs w:val="19"/>
        </w:rPr>
        <w:t xml:space="preserve">- a. Description des équipements ;</w:t>
      </w:r>
    </w:p>
    <w:p>
      <w:pPr>
        <w:spacing w:after="60"/>
        <w:ind w:left="720"/>
      </w:pPr>
      <w:r>
        <w:rPr>
          <w:rFonts w:ascii="Arial" w:cs="Arial" w:eastAsia="Arial" w:hAnsi="Arial"/>
          <w:sz w:val="19"/>
          <w:szCs w:val="19"/>
        </w:rPr>
        <w:t xml:space="preserve">- b. Analyse de l'existant et des améliorations envisageables ;</w:t>
      </w:r>
    </w:p>
    <w:p>
      <w:pPr>
        <w:spacing w:after="60"/>
        <w:ind w:left="720"/>
      </w:pPr>
      <w:r>
        <w:rPr>
          <w:rFonts w:ascii="Arial" w:cs="Arial" w:eastAsia="Arial" w:hAnsi="Arial"/>
          <w:sz w:val="19"/>
          <w:szCs w:val="19"/>
        </w:rPr>
        <w:t xml:space="preserve">- c. Évaluation de la maintenance réalisée ;</w:t>
      </w:r>
    </w:p>
    <w:p>
      <w:pPr>
        <w:spacing w:after="60"/>
        <w:ind w:left="720"/>
      </w:pPr>
      <w:r>
        <w:rPr>
          <w:rFonts w:ascii="Arial" w:cs="Arial" w:eastAsia="Arial" w:hAnsi="Arial"/>
          <w:sz w:val="19"/>
          <w:szCs w:val="19"/>
        </w:rPr>
        <w:t xml:space="preserve">- d. Analyse de conformité réglementaire ;</w:t>
      </w:r>
    </w:p>
    <w:p>
      <w:pPr>
        <w:spacing w:after="60"/>
        <w:ind w:left="720"/>
      </w:pPr>
      <w:r>
        <w:rPr>
          <w:rFonts w:ascii="Arial" w:cs="Arial" w:eastAsia="Arial" w:hAnsi="Arial"/>
          <w:sz w:val="19"/>
          <w:szCs w:val="19"/>
        </w:rPr>
        <w:t xml:space="preserve">- e. Recommandations de modernisation, incluant les options techniques, les délais de réalisation et les estimations budgétaires.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12"/>
              <w:left w:val="single" w:color="FF6B00" w:sz="4"/>
              <w:bottom w:val="single" w:color="FF6B00" w:sz="12"/>
              <w:right w:val="single" w:color="FF6B00" w:sz="4"/>
            </w:tcBorders>
            <w:shd w:fill="FFF3E8" w:val="clear"/>
            <w:tcMar>
              <w:top w:type="dxa" w:w="180"/>
              <w:left w:type="dxa" w:w="280"/>
              <w:bottom w:type="dxa" w:w="180"/>
              <w:right w:type="dxa" w:w="280"/>
            </w:tcMar>
          </w:tcPr>
          <w:p>
            <w:r>
              <w:rPr>
                <w:rFonts w:ascii="Arial" w:cs="Arial" w:eastAsia="Arial" w:hAnsi="Arial"/>
                <w:b/>
                <w:bCs/>
                <w:color w:val="FF6B00"/>
                <w:sz w:val="20"/>
                <w:szCs w:val="20"/>
              </w:rPr>
              <w:t xml:space="preserve">DÉLAIS DE REMISE DU RAPPORT</w:t>
            </w:r>
          </w:p>
          <w:p>
            <w:r>
              <w:rPr>
                <w:rFonts w:ascii="Arial" w:cs="Arial" w:eastAsia="Arial" w:hAnsi="Arial"/>
                <w:b w:val="false"/>
                <w:bCs w:val="false"/>
                <w:color w:val="333333"/>
                <w:sz w:val="20"/>
                <w:szCs w:val="20"/>
              </w:rPr>
              <w:t xml:space="preserve">Le rapport final sera transmis au client dans un délai de trois (3) semaines à compter de la date de réalisation de la visite sur site et de la collecte des données.</w:t>
            </w:r>
          </w:p>
        </w:tc>
      </w:tr>
    </w:tbl>
    <w:p/>
    <w:p>
      <w:pPr>
        <w:pageBreakBefore/>
      </w:pPr>
    </w:p>
    <w:p>
      <w:pPr>
        <w:pBdr>
          <w:bottom w:val="single" w:color="FF6B00" w:sz="6" w:space="4"/>
        </w:pBdr>
        <w:spacing w:after="200"/>
      </w:pPr>
      <w:r>
        <w:rPr>
          <w:rFonts w:ascii="Arial" w:cs="Arial" w:eastAsia="Arial" w:hAnsi="Arial"/>
          <w:b/>
          <w:bCs/>
          <w:color w:val="1A2B4C"/>
          <w:sz w:val="26"/>
          <w:szCs w:val="26"/>
        </w:rPr>
        <w:t xml:space="preserve">MONTANT DES HONORAIRES</w:t>
      </w:r>
    </w:p>
    <w:p/>
    <w:p>
      <w:pPr>
        <w:keepNext w:val="false"/>
        <w:spacing w:after="120"/>
        <w:jc w:val="both"/>
      </w:pPr>
      <w:r>
        <w:rPr>
          <w:rFonts w:ascii="Arial" w:cs="Arial" w:eastAsia="Arial" w:hAnsi="Arial"/>
          <w:b/>
          <w:bCs/>
          <w:i w:val="false"/>
          <w:iCs w:val="false"/>
          <w:color w:val="1A2B4C"/>
          <w:sz w:val="22"/>
          <w:szCs w:val="22"/>
        </w:rPr>
        <w:t xml:space="preserve">Tableau de l'offre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155"/>
        <w:gridCol w:w="3871"/>
      </w:tblGrid>
      <w:tr>
        <w:tc>
          <w:tcPr>
            <w:tcW w:type="dxa" w:w="5155"/>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PRESTATION</w:t>
            </w:r>
          </w:p>
        </w:tc>
        <w:tc>
          <w:tcPr>
            <w:tcW w:type="dxa" w:w="3871"/>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MONTANT HT</w:t>
            </w:r>
          </w:p>
        </w:tc>
      </w:tr>
      <w:tr>
        <w:tc>
          <w:tcPr>
            <w:tcW w:type="dxa" w:w="5155"/>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AUDIT TECHNIQUE ASCENSEUR</w:t>
            </w:r>
          </w:p>
        </w:tc>
        <w:tc>
          <w:tcPr>
            <w:tcW w:type="dxa" w:w="387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750,00 € HT / Ascenseur</w:t>
            </w:r>
          </w:p>
        </w:tc>
      </w:tr>
      <w:tr>
        <w:tc>
          <w:tcPr>
            <w:tcW w:type="dxa" w:w="5155"/>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TOTAL</w:t>
            </w:r>
          </w:p>
        </w:tc>
        <w:tc>
          <w:tcPr>
            <w:tcW w:type="dxa" w:w="3871"/>
            <w:tcBorders>
              <w:top w:val="single" w:color="8E9DAE" w:sz="1"/>
              <w:left w:val="single" w:color="8E9DAE" w:sz="1"/>
              <w:bottom w:val="single" w:color="8E9DAE" w:sz="1"/>
              <w:right w:val="single" w:color="8E9DAE" w:sz="1"/>
            </w:tcBorders>
            <w:shd w:fill="FF6B00" w:val="clear"/>
            <w:tcMar>
              <w:top w:type="dxa" w:w="100"/>
              <w:left w:type="dxa" w:w="150"/>
              <w:bottom w:type="dxa" w:w="100"/>
              <w:right w:type="dxa" w:w="150"/>
            </w:tcMar>
            <w:vAlign w:val="center"/>
          </w:tcPr>
          <w:p>
            <w:r>
              <w:rPr>
                <w:rFonts w:ascii="Arial" w:cs="Arial" w:eastAsia="Arial" w:hAnsi="Arial"/>
                <w:b/>
                <w:bCs/>
                <w:color w:val="FFFFFF"/>
                <w:sz w:val="22"/>
                <w:szCs w:val="22"/>
              </w:rPr>
              <w:t xml:space="preserve">1 500,00 € HT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E9DAE" w:sz="1"/>
              <w:left w:val="single" w:color="8E9DAE" w:sz="1"/>
              <w:bottom w:val="single" w:color="8E9DAE" w:sz="1"/>
              <w:right w:val="single" w:color="8E9DAE" w:sz="1"/>
            </w:tcBorders>
            <w:shd w:fill="F4F6F9" w:val="clear"/>
            <w:tcMar>
              <w:top w:type="dxa" w:w="120"/>
              <w:left w:type="dxa" w:w="200"/>
              <w:bottom w:type="dxa" w:w="120"/>
              <w:right w:type="dxa" w:w="200"/>
            </w:tcMar>
          </w:tcPr>
          <w:p>
            <w:pPr>
              <w:jc w:val="center"/>
            </w:pPr>
            <w:r>
              <w:rPr>
                <w:rFonts w:ascii="Arial" w:cs="Arial" w:eastAsia="Arial" w:hAnsi="Arial"/>
                <w:b/>
                <w:bCs/>
                <w:color w:val="1A2B4C"/>
                <w:sz w:val="19"/>
                <w:szCs w:val="19"/>
              </w:rPr>
              <w:t xml:space="preserve">Coût horaire LVO-INGENIERIE : 65,00 € HT       |       Coût Journalier : 480,00 € HT</w:t>
            </w:r>
          </w:p>
          <w:p>
            <w:r>
              <w:rPr>
                <w:rFonts w:ascii="Arial" w:cs="Arial" w:eastAsia="Arial" w:hAnsi="Arial"/>
                <w:color w:val="8E9DAE"/>
                <w:sz w:val="18"/>
                <w:szCs w:val="18"/>
              </w:rPr>
              <w:t xml:space="preserve">TVA applicable : 8.5 %</w:t>
            </w:r>
          </w:p>
          <w:p>
            <w:r>
              <w:rPr>
                <w:rFonts w:ascii="Arial" w:cs="Arial" w:eastAsia="Arial" w:hAnsi="Arial"/>
                <w:color w:val="8E9DAE"/>
                <w:sz w:val="18"/>
                <w:szCs w:val="18"/>
              </w:rPr>
              <w:t xml:space="preserve">Offre valable 3 mois — Révisable selon l'indice SYNTEC.</w:t>
            </w:r>
          </w:p>
        </w:tc>
      </w:tr>
    </w:tbl>
    <w:p/>
    <w:p>
      <w:pPr>
        <w:keepNext w:val="false"/>
        <w:spacing w:after="120"/>
        <w:jc w:val="both"/>
      </w:pPr>
      <w:r>
        <w:rPr>
          <w:rFonts w:ascii="Arial" w:cs="Arial" w:eastAsia="Arial" w:hAnsi="Arial"/>
          <w:b/>
          <w:bCs/>
          <w:i w:val="false"/>
          <w:iCs w:val="false"/>
          <w:color w:val="1A2B4C"/>
          <w:sz w:val="22"/>
          <w:szCs w:val="22"/>
        </w:rPr>
        <w:t xml:space="preserve">Échéancier de facturation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85"/>
        <w:gridCol w:w="1739"/>
        <w:gridCol w:w="3602"/>
      </w:tblGrid>
      <w:tr>
        <w:tc>
          <w:tcPr>
            <w:tcW w:type="dxa" w:w="3685"/>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PHASE</w:t>
            </w:r>
          </w:p>
        </w:tc>
        <w:tc>
          <w:tcPr>
            <w:tcW w:type="dxa" w:w="1739"/>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MONTANT HT</w:t>
            </w:r>
          </w:p>
        </w:tc>
        <w:tc>
          <w:tcPr>
            <w:tcW w:type="dxa" w:w="3602"/>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FACTURATION — ÉCHÉANCIER</w:t>
            </w:r>
          </w:p>
        </w:tc>
      </w:tr>
      <w:tr>
        <w:tc>
          <w:tcPr>
            <w:tcW w:type="dxa" w:w="3685"/>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AUDIT TECHNIQUE ASCENSEUR</w:t>
            </w:r>
          </w:p>
        </w:tc>
        <w:tc>
          <w:tcPr>
            <w:tcW w:type="dxa" w:w="1739"/>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1 500,00 €</w:t>
            </w:r>
          </w:p>
        </w:tc>
        <w:tc>
          <w:tcPr>
            <w:tcW w:type="dxa" w:w="360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À l'envoi du rapport</w:t>
            </w:r>
          </w:p>
        </w:tc>
      </w:tr>
      <w:tr>
        <w:tc>
          <w:tcPr>
            <w:tcW w:type="dxa" w:w="3685"/>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TOTAL</w:t>
            </w:r>
          </w:p>
        </w:tc>
        <w:tc>
          <w:tcPr>
            <w:tcW w:type="dxa" w:w="1739"/>
            <w:tcBorders>
              <w:top w:val="single" w:color="8E9DAE" w:sz="1"/>
              <w:left w:val="single" w:color="8E9DAE" w:sz="1"/>
              <w:bottom w:val="single" w:color="8E9DAE" w:sz="1"/>
              <w:right w:val="single" w:color="8E9DAE" w:sz="1"/>
            </w:tcBorders>
            <w:shd w:fill="FF6B00" w:val="clear"/>
            <w:tcMar>
              <w:top w:type="dxa" w:w="100"/>
              <w:left w:type="dxa" w:w="150"/>
              <w:bottom w:type="dxa" w:w="100"/>
              <w:right w:type="dxa" w:w="150"/>
            </w:tcMar>
            <w:vAlign w:val="center"/>
          </w:tcPr>
          <w:p>
            <w:r>
              <w:rPr>
                <w:rFonts w:ascii="Arial" w:cs="Arial" w:eastAsia="Arial" w:hAnsi="Arial"/>
                <w:b/>
                <w:bCs/>
                <w:color w:val="FFFFFF"/>
                <w:sz w:val="19"/>
                <w:szCs w:val="19"/>
              </w:rPr>
              <w:t xml:space="preserve">1 500,00 €</w:t>
            </w:r>
          </w:p>
        </w:tc>
        <w:tc>
          <w:tcPr>
            <w:tcW w:type="dxa" w:w="3602"/>
            <w:tcBorders>
              <w:top w:val="single" w:color="8E9DAE" w:sz="1"/>
              <w:left w:val="single" w:color="8E9DAE" w:sz="1"/>
              <w:bottom w:val="single" w:color="8E9DAE" w:sz="1"/>
              <w:right w:val="single" w:color="8E9DAE" w:sz="1"/>
            </w:tcBorders>
            <w:shd w:fill="F4F6F9"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DÉLAIS ET CALENDRIER PRÉVISIONNEL</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16"/>
        <w:gridCol w:w="6210"/>
      </w:tblGrid>
      <w:tr>
        <w:tc>
          <w:tcPr>
            <w:tcW w:type="dxa" w:w="2816"/>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PRESTATION</w:t>
            </w:r>
          </w:p>
        </w:tc>
        <w:tc>
          <w:tcPr>
            <w:tcW w:type="dxa" w:w="6210"/>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DÉLAI PRÉVISIONNEL</w:t>
            </w:r>
          </w:p>
        </w:tc>
      </w:tr>
      <w:tr>
        <w:tc>
          <w:tcPr>
            <w:tcW w:type="dxa" w:w="2816"/>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Relevé sur site</w:t>
            </w:r>
          </w:p>
        </w:tc>
        <w:tc>
          <w:tcPr>
            <w:tcW w:type="dxa" w:w="621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Suivant demande du maître d'ouvrage et charge de travail</w:t>
            </w:r>
          </w:p>
        </w:tc>
      </w:tr>
      <w:tr>
        <w:tc>
          <w:tcPr>
            <w:tcW w:type="dxa" w:w="2816"/>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Transmission du rapport</w:t>
            </w:r>
          </w:p>
        </w:tc>
        <w:tc>
          <w:tcPr>
            <w:tcW w:type="dxa" w:w="621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3 semaines maximum après relevé sur site</w:t>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ORDRE DE MISSION — SIGNATURES</w:t>
      </w:r>
    </w:p>
    <w:p/>
    <w:tbl>
      <w:tblPr>
        <w:tblW w:type="dxa" w:w="9062"/>
        <w:tblBorders>
          <w:top w:val="single" w:color="auto" w:sz="4"/>
          <w:left w:val="single" w:color="auto" w:sz="4"/>
          <w:bottom w:val="single" w:color="auto" w:sz="4"/>
          <w:right w:val="single" w:color="auto" w:sz="4"/>
          <w:insideH w:val="single" w:color="auto" w:sz="4"/>
          <w:insideV w:val="single" w:color="auto" w:sz="4"/>
        </w:tblBorders>
      </w:tblPr>
      <w:tblGrid>
        <w:gridCol w:w="4252"/>
        <w:gridCol w:w="320"/>
        <w:gridCol w:w="4490"/>
      </w:tblGrid>
      <w:tr>
        <w:tc>
          <w:tcPr>
            <w:tcW w:type="dxa" w:w="4252"/>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LE CLIENT</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LVO-INGENIERIE</w:t>
            </w:r>
          </w:p>
        </w:tc>
      </w:tr>
      <w:tr>
        <w:tc>
          <w:tcPr>
            <w:tcW w:type="dxa" w:w="425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Accepté par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Accepté par :  Mr Hatem LEMBARKI</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Fonction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Fonction : Fondateur Gérant</w:t>
            </w:r>
          </w:p>
        </w:tc>
      </w:tr>
      <w:tr>
        <w:tc>
          <w:tcPr>
            <w:tcW w:type="dxa" w:w="425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Date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Date :  15 septembre 2026</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Signature &amp; cachet</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Signature &amp; cachet</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pPr>
              <w:keepNext w:val="false"/>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1619250"/>
                          </a:xfrm>
                          <a:prstGeom prst="rect">
                            <a:avLst/>
                          </a:prstGeom>
                        </pic:spPr>
                      </pic:pic>
                    </a:graphicData>
                  </a:graphic>
                </wp:inline>
              </w:drawing>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INFORMATIONS ET CONDITIONS GÉNÉRALES DE VENTES</w:t>
      </w:r>
    </w:p>
    <w:p/>
    <w:p>
      <w:pPr>
        <w:keepNext w:val="false"/>
        <w:spacing w:after="120"/>
        <w:jc w:val="both"/>
      </w:pPr>
      <w:r>
        <w:rPr>
          <w:rFonts w:ascii="Arial" w:cs="Arial" w:eastAsia="Arial" w:hAnsi="Arial"/>
          <w:b/>
          <w:bCs/>
          <w:i w:val="false"/>
          <w:iCs w:val="false"/>
          <w:color w:val="1A2B4C"/>
          <w:sz w:val="22"/>
          <w:szCs w:val="22"/>
        </w:rPr>
        <w:t xml:space="preserve">Introduction</w:t>
      </w:r>
    </w:p>
    <w:p>
      <w:pPr>
        <w:keepNext w:val="false"/>
        <w:spacing w:after="120"/>
        <w:jc w:val="both"/>
      </w:pPr>
      <w:r>
        <w:rPr>
          <w:rFonts w:ascii="Arial" w:cs="Arial" w:eastAsia="Arial" w:hAnsi="Arial"/>
          <w:b w:val="false"/>
          <w:bCs w:val="false"/>
          <w:i w:val="false"/>
          <w:iCs w:val="false"/>
          <w:color w:val="000000"/>
          <w:sz w:val="18"/>
          <w:szCs w:val="18"/>
        </w:rPr>
        <w:t xml:space="preserve">Les mentions « nous » et « le bureau d'études » renvoient à LVO-INGENIERIE, Société à responsabilité limitée sous le numéro 102 486 917 R.C.S. Saint-Denis de La Réunion, dont le siège social se trouve au Centre d'affaires CADJEE, 62 Boulevard du Chaudron, 97491 Saint-Denis La Réunion.</w:t>
      </w:r>
    </w:p>
    <w:p/>
    <w:p>
      <w:pPr>
        <w:keepNext w:val="false"/>
        <w:spacing w:after="120"/>
        <w:jc w:val="both"/>
      </w:pPr>
      <w:r>
        <w:rPr>
          <w:rFonts w:ascii="Arial" w:cs="Arial" w:eastAsia="Arial" w:hAnsi="Arial"/>
          <w:b/>
          <w:bCs/>
          <w:i w:val="false"/>
          <w:iCs w:val="false"/>
          <w:color w:val="EA4E00"/>
          <w:sz w:val="22"/>
          <w:szCs w:val="22"/>
        </w:rPr>
        <w:t xml:space="preserve">1. RESPONSABILITÉ CONCERNANT VOS TRAVAUX</w:t>
      </w:r>
    </w:p>
    <w:p>
      <w:pPr>
        <w:keepNext w:val="false"/>
        <w:spacing w:after="120"/>
        <w:jc w:val="both"/>
      </w:pPr>
      <w:r>
        <w:rPr>
          <w:rFonts w:ascii="Arial" w:cs="Arial" w:eastAsia="Arial" w:hAnsi="Arial"/>
          <w:b w:val="false"/>
          <w:bCs w:val="false"/>
          <w:i w:val="false"/>
          <w:iCs w:val="false"/>
          <w:color w:val="000000"/>
          <w:sz w:val="20"/>
          <w:szCs w:val="20"/>
        </w:rPr>
        <w:t xml:space="preserve">Nous vous confirmerons qui sera responsable de vos travaux. Le consultant agissant en votre nom sera certainement secondé par d'autres consultants ou employés facturables du cabinet. Si ces personnes sont amenées à jouer un rôle permanent, nous vous communiquerons leurs coordonnées.</w:t>
      </w:r>
    </w:p>
    <w:p>
      <w:pPr>
        <w:keepNext w:val="false"/>
        <w:spacing w:after="120"/>
        <w:jc w:val="both"/>
      </w:pPr>
      <w:r>
        <w:rPr>
          <w:rFonts w:ascii="Arial" w:cs="Arial" w:eastAsia="Arial" w:hAnsi="Arial"/>
          <w:b/>
          <w:bCs/>
          <w:i w:val="false"/>
          <w:iCs w:val="false"/>
          <w:color w:val="EA4E00"/>
          <w:sz w:val="22"/>
          <w:szCs w:val="22"/>
        </w:rPr>
        <w:t xml:space="preserve">2. LA MANIÈRE DONT NOUS EXÉCUTONS VOS INSTRUCTIONS</w:t>
      </w:r>
    </w:p>
    <w:p>
      <w:pPr>
        <w:keepNext w:val="false"/>
        <w:spacing w:after="120"/>
        <w:jc w:val="both"/>
      </w:pPr>
      <w:r>
        <w:rPr>
          <w:rFonts w:ascii="Arial" w:cs="Arial" w:eastAsia="Arial" w:hAnsi="Arial"/>
          <w:b w:val="false"/>
          <w:bCs w:val="false"/>
          <w:i w:val="false"/>
          <w:iCs w:val="false"/>
          <w:color w:val="000000"/>
          <w:sz w:val="20"/>
          <w:szCs w:val="20"/>
        </w:rPr>
        <w:t xml:space="preserve">Le cas échéant, nous conviendrons d'une stratégie concernant vos travaux et nous vous tiendrons au courant de leur évolution, afin que vous puissiez prendre des décisions éclairées le moment voulu. Si vous souhaitez opter pour une solution contraire à notre conseil, nous vous demanderons de confirmer vos instructions par écrit. Nous nous engageons à respecter toute échéance convenue, sauf accord écrit contraire stipulant une heure, une date ou une période de livraison.</w:t>
      </w:r>
    </w:p>
    <w:p>
      <w:pPr>
        <w:keepNext w:val="false"/>
        <w:spacing w:after="120"/>
        <w:jc w:val="both"/>
      </w:pPr>
      <w:r>
        <w:rPr>
          <w:rFonts w:ascii="Arial" w:cs="Arial" w:eastAsia="Arial" w:hAnsi="Arial"/>
          <w:b/>
          <w:bCs/>
          <w:i w:val="false"/>
          <w:iCs w:val="false"/>
          <w:color w:val="EA4E00"/>
          <w:sz w:val="22"/>
          <w:szCs w:val="22"/>
        </w:rPr>
        <w:t xml:space="preserve">3. CONCLUSION DU CONTRAT</w:t>
      </w:r>
    </w:p>
    <w:p>
      <w:pPr>
        <w:keepNext w:val="false"/>
        <w:spacing w:after="120"/>
        <w:jc w:val="both"/>
      </w:pPr>
      <w:r>
        <w:rPr>
          <w:rFonts w:ascii="Arial" w:cs="Arial" w:eastAsia="Arial" w:hAnsi="Arial"/>
          <w:b w:val="false"/>
          <w:bCs w:val="false"/>
          <w:i w:val="false"/>
          <w:iCs w:val="false"/>
          <w:color w:val="000000"/>
          <w:sz w:val="20"/>
          <w:szCs w:val="20"/>
        </w:rPr>
        <w:t xml:space="preserve">Nous vous informons que la signature de l'ordre de mission vaut pour acceptation des présentes Conditions Générales. Tout ordre de mission surchargé ou raturé sera considéré comme nul.</w:t>
      </w:r>
    </w:p>
    <w:p>
      <w:pPr>
        <w:keepNext w:val="false"/>
        <w:spacing w:after="120"/>
        <w:jc w:val="both"/>
      </w:pPr>
      <w:r>
        <w:rPr>
          <w:rFonts w:ascii="Arial" w:cs="Arial" w:eastAsia="Arial" w:hAnsi="Arial"/>
          <w:b/>
          <w:bCs/>
          <w:i w:val="false"/>
          <w:iCs w:val="false"/>
          <w:color w:val="EA4E00"/>
          <w:sz w:val="22"/>
          <w:szCs w:val="22"/>
        </w:rPr>
        <w:t xml:space="preserve">4. PORTÉE DE NOTRE CONSEIL</w:t>
      </w:r>
    </w:p>
    <w:p>
      <w:pPr>
        <w:keepNext w:val="false"/>
        <w:spacing w:after="120"/>
        <w:jc w:val="both"/>
      </w:pPr>
      <w:r>
        <w:rPr>
          <w:rFonts w:ascii="Arial" w:cs="Arial" w:eastAsia="Arial" w:hAnsi="Arial"/>
          <w:b w:val="false"/>
          <w:bCs w:val="false"/>
          <w:i w:val="false"/>
          <w:iCs w:val="false"/>
          <w:color w:val="000000"/>
          <w:sz w:val="20"/>
          <w:szCs w:val="20"/>
        </w:rPr>
        <w:t xml:space="preserve">4.1 Notre expertise et notre conseil sont spécialisés et découlent de notre expérience ainsi que des codes, normes, lois applicables dans le territoire concerné. Notre expertise relève du domaine du « transport des personnes et des biens ».</w:t>
      </w:r>
    </w:p>
    <w:p>
      <w:pPr>
        <w:keepNext w:val="false"/>
        <w:spacing w:after="120"/>
        <w:jc w:val="both"/>
      </w:pPr>
      <w:r>
        <w:rPr>
          <w:rFonts w:ascii="Arial" w:cs="Arial" w:eastAsia="Arial" w:hAnsi="Arial"/>
          <w:b w:val="false"/>
          <w:bCs w:val="false"/>
          <w:i w:val="false"/>
          <w:iCs w:val="false"/>
          <w:color w:val="000000"/>
          <w:sz w:val="20"/>
          <w:szCs w:val="20"/>
        </w:rPr>
        <w:t xml:space="preserve">4.2 Nous fournissons un conseil et préparons des documents en tenant compte des codes, normes et lois en vigueur au moment de la livraison. Ces éléments sont uniquement censés être utilisés en rapport avec le projet spécifique qui nous a été confié.</w:t>
      </w:r>
    </w:p>
    <w:p>
      <w:pPr>
        <w:keepNext w:val="false"/>
        <w:spacing w:after="120"/>
        <w:jc w:val="both"/>
      </w:pPr>
      <w:r>
        <w:rPr>
          <w:rFonts w:ascii="Arial" w:cs="Arial" w:eastAsia="Arial" w:hAnsi="Arial"/>
          <w:b/>
          <w:bCs/>
          <w:i w:val="false"/>
          <w:iCs w:val="false"/>
          <w:color w:val="EA4E00"/>
          <w:sz w:val="22"/>
          <w:szCs w:val="22"/>
        </w:rPr>
        <w:t xml:space="preserve">5. HONORAIRES ET FRAIS</w:t>
      </w:r>
    </w:p>
    <w:p>
      <w:pPr>
        <w:keepNext w:val="false"/>
        <w:spacing w:after="120"/>
        <w:jc w:val="both"/>
      </w:pPr>
      <w:r>
        <w:rPr>
          <w:rFonts w:ascii="Arial" w:cs="Arial" w:eastAsia="Arial" w:hAnsi="Arial"/>
          <w:b w:val="false"/>
          <w:bCs w:val="false"/>
          <w:i w:val="false"/>
          <w:iCs w:val="false"/>
          <w:color w:val="000000"/>
          <w:sz w:val="20"/>
          <w:szCs w:val="20"/>
        </w:rPr>
        <w:t xml:space="preserve">Les honoraires sont calculés en grande partie en fonction du temps nécessaire pour réaliser les travaux pendant les heures de bureau habituelles. D'autres facteurs peuvent intervenir, tels que la nécessité d'agir rapidement, la complexité du projet, des déplacements, et le volume de la documentation. Les tarifs horaires sont revalorisés chaque année au 1er janvier. TVA : les honoraires et frais sont assujettis à la TVA au taux en vigueur : 8.5 % (ou 2,1 % avec justificatif : immeuble construit depuis plus de 2 ans, en majorité à usage copropriété).</w:t>
      </w:r>
    </w:p>
    <w:p>
      <w:pPr>
        <w:keepNext w:val="false"/>
        <w:spacing w:after="120"/>
        <w:jc w:val="both"/>
      </w:pPr>
      <w:r>
        <w:rPr>
          <w:rFonts w:ascii="Arial" w:cs="Arial" w:eastAsia="Arial" w:hAnsi="Arial"/>
          <w:b/>
          <w:bCs/>
          <w:i w:val="false"/>
          <w:iCs w:val="false"/>
          <w:color w:val="EA4E00"/>
          <w:sz w:val="22"/>
          <w:szCs w:val="22"/>
        </w:rPr>
        <w:t xml:space="preserve">6. FACTURES</w:t>
      </w:r>
    </w:p>
    <w:p>
      <w:pPr>
        <w:keepNext w:val="false"/>
        <w:spacing w:after="120"/>
        <w:jc w:val="both"/>
      </w:pPr>
      <w:r>
        <w:rPr>
          <w:rFonts w:ascii="Arial" w:cs="Arial" w:eastAsia="Arial" w:hAnsi="Arial"/>
          <w:b w:val="false"/>
          <w:bCs w:val="false"/>
          <w:i w:val="false"/>
          <w:iCs w:val="false"/>
          <w:color w:val="000000"/>
          <w:sz w:val="20"/>
          <w:szCs w:val="20"/>
        </w:rPr>
        <w:t xml:space="preserve">Nos factures sont envoyées tous les mois, sauf accord contraire. Conformément à la loi N°92-4442 du 31/12/1992, les notes d'honoraires sont payables comptant à réception. Toute facture non réglée dans les 30 jours entraîne des intérêts de 2 % par mois de retard sur le montant dû. Nous nous réservons le droit d'interrompre le travail jusqu'au règlement intégral des factures impayées.</w:t>
      </w:r>
    </w:p>
    <w:p>
      <w:pPr>
        <w:keepNext w:val="false"/>
        <w:spacing w:after="120"/>
        <w:jc w:val="both"/>
      </w:pPr>
      <w:r>
        <w:rPr>
          <w:rFonts w:ascii="Arial" w:cs="Arial" w:eastAsia="Arial" w:hAnsi="Arial"/>
          <w:b/>
          <w:bCs/>
          <w:i w:val="false"/>
          <w:iCs w:val="false"/>
          <w:color w:val="EA4E00"/>
          <w:sz w:val="22"/>
          <w:szCs w:val="22"/>
        </w:rPr>
        <w:t xml:space="preserve">7. CONFIDENTIALITÉ</w:t>
      </w:r>
    </w:p>
    <w:p>
      <w:pPr>
        <w:keepNext w:val="false"/>
        <w:spacing w:after="120"/>
        <w:jc w:val="both"/>
      </w:pPr>
      <w:r>
        <w:rPr>
          <w:rFonts w:ascii="Arial" w:cs="Arial" w:eastAsia="Arial" w:hAnsi="Arial"/>
          <w:b w:val="false"/>
          <w:bCs w:val="false"/>
          <w:i w:val="false"/>
          <w:iCs w:val="false"/>
          <w:color w:val="000000"/>
          <w:sz w:val="20"/>
          <w:szCs w:val="20"/>
        </w:rPr>
        <w:t xml:space="preserve">Nous considérerons comme confidentielles toutes les informations que vous nous confiez, ainsi que toutes les informations en rapport avec les projets nous incombant. Nous ne divulguerons pas les informations confidentielles à un tiers, sauf si vous y consentez par écrit au préalable ou si cela est nécessaire dans le cadre de notre prestation de services, ou dans la mesure où la loi l'exige.</w:t>
      </w:r>
    </w:p>
    <w:p>
      <w:pPr>
        <w:keepNext w:val="false"/>
        <w:spacing w:after="120"/>
        <w:jc w:val="both"/>
      </w:pPr>
      <w:r>
        <w:rPr>
          <w:rFonts w:ascii="Arial" w:cs="Arial" w:eastAsia="Arial" w:hAnsi="Arial"/>
          <w:b/>
          <w:bCs/>
          <w:i w:val="false"/>
          <w:iCs w:val="false"/>
          <w:color w:val="EA4E00"/>
          <w:sz w:val="22"/>
          <w:szCs w:val="22"/>
        </w:rPr>
        <w:t xml:space="preserve">8. INSTRUCTIONS DU CLIENT</w:t>
      </w:r>
    </w:p>
    <w:p>
      <w:pPr>
        <w:keepNext w:val="false"/>
        <w:spacing w:after="120"/>
        <w:jc w:val="both"/>
      </w:pPr>
      <w:r>
        <w:rPr>
          <w:rFonts w:ascii="Arial" w:cs="Arial" w:eastAsia="Arial" w:hAnsi="Arial"/>
          <w:b w:val="false"/>
          <w:bCs w:val="false"/>
          <w:i w:val="false"/>
          <w:iCs w:val="false"/>
          <w:color w:val="000000"/>
          <w:sz w:val="20"/>
          <w:szCs w:val="20"/>
        </w:rPr>
        <w:t xml:space="preserve">Vous acceptez de veiller à ce que nous ayons connaissance de tous les éléments de votre projet, de nous communiquer vos instructions en temps opportun et de manière précise, de nous informer rapidement de tout changement de situation influant sur votre projet, et de répondre rapidement à nos demandes d'instruction. Vous convenez que nous n'aurons qu'un seul interlocuteur au sein de votre organisation qui jouera le rôle de point de contact central.</w:t>
      </w:r>
    </w:p>
    <w:p>
      <w:pPr>
        <w:keepNext w:val="false"/>
        <w:spacing w:after="120"/>
        <w:jc w:val="both"/>
      </w:pPr>
      <w:r>
        <w:rPr>
          <w:rFonts w:ascii="Arial" w:cs="Arial" w:eastAsia="Arial" w:hAnsi="Arial"/>
          <w:b/>
          <w:bCs/>
          <w:i w:val="false"/>
          <w:iCs w:val="false"/>
          <w:color w:val="EA4E00"/>
          <w:sz w:val="22"/>
          <w:szCs w:val="22"/>
        </w:rPr>
        <w:t xml:space="preserve">9. PROTECTION DES DONNÉES</w:t>
      </w:r>
    </w:p>
    <w:p>
      <w:pPr>
        <w:keepNext w:val="false"/>
        <w:spacing w:after="120"/>
        <w:jc w:val="both"/>
      </w:pPr>
      <w:r>
        <w:rPr>
          <w:rFonts w:ascii="Arial" w:cs="Arial" w:eastAsia="Arial" w:hAnsi="Arial"/>
          <w:b w:val="false"/>
          <w:bCs w:val="false"/>
          <w:i w:val="false"/>
          <w:iCs w:val="false"/>
          <w:color w:val="000000"/>
          <w:sz w:val="20"/>
          <w:szCs w:val="20"/>
        </w:rPr>
        <w:t xml:space="preserve">Nous traiterons les données personnelles que vous nous confiez aux fins suivantes : (i) exécuter le travail conformément à vos instructions, (ii) fournir des instructions aux personnes travaillant pour vous, (iii) respecter nos obligations légales et professionnelles, et (iv) maintenir et utiliser nos bases de données de clients/contacts.</w:t>
      </w:r>
    </w:p>
    <w:p>
      <w:pPr>
        <w:keepNext w:val="false"/>
        <w:spacing w:after="120"/>
        <w:jc w:val="both"/>
      </w:pPr>
      <w:r>
        <w:rPr>
          <w:rFonts w:ascii="Arial" w:cs="Arial" w:eastAsia="Arial" w:hAnsi="Arial"/>
          <w:b/>
          <w:bCs/>
          <w:i w:val="false"/>
          <w:iCs w:val="false"/>
          <w:color w:val="EA4E00"/>
          <w:sz w:val="22"/>
          <w:szCs w:val="22"/>
        </w:rPr>
        <w:t xml:space="preserve">10. FICHIERS, DOCUMENTS ET DONNÉES ÉLECTRONIQUES</w:t>
      </w:r>
    </w:p>
    <w:p>
      <w:pPr>
        <w:keepNext w:val="false"/>
        <w:spacing w:after="120"/>
        <w:jc w:val="both"/>
      </w:pPr>
      <w:r>
        <w:rPr>
          <w:rFonts w:ascii="Arial" w:cs="Arial" w:eastAsia="Arial" w:hAnsi="Arial"/>
          <w:b w:val="false"/>
          <w:bCs w:val="false"/>
          <w:i w:val="false"/>
          <w:iCs w:val="false"/>
          <w:color w:val="000000"/>
          <w:sz w:val="20"/>
          <w:szCs w:val="20"/>
        </w:rPr>
        <w:t xml:space="preserve">Nous pourrons conserver des fichiers et autres documents en rapport avec vos projets au format électronique ou en version papier. Nous avons instauré des mesures de sécurité visant à garantir le respect de nos obligations de confidentialité. Vous pouvez nous demander de vous envoyer les fichiers et documents en rapport avec votre projet. Nous nous réservons le droit de conserver des copies pour nos propres archives.</w:t>
      </w:r>
    </w:p>
    <w:p>
      <w:pPr>
        <w:keepNext w:val="false"/>
        <w:spacing w:after="120"/>
        <w:jc w:val="both"/>
      </w:pPr>
      <w:r>
        <w:rPr>
          <w:rFonts w:ascii="Arial" w:cs="Arial" w:eastAsia="Arial" w:hAnsi="Arial"/>
          <w:b/>
          <w:bCs/>
          <w:i w:val="false"/>
          <w:iCs w:val="false"/>
          <w:color w:val="EA4E00"/>
          <w:sz w:val="22"/>
          <w:szCs w:val="22"/>
        </w:rPr>
        <w:t xml:space="preserve">11. PROPRIÉTÉ INTELLECTUELLE</w:t>
      </w:r>
    </w:p>
    <w:p>
      <w:pPr>
        <w:keepNext w:val="false"/>
        <w:spacing w:after="120"/>
        <w:jc w:val="both"/>
      </w:pPr>
      <w:r>
        <w:rPr>
          <w:rFonts w:ascii="Arial" w:cs="Arial" w:eastAsia="Arial" w:hAnsi="Arial"/>
          <w:b w:val="false"/>
          <w:bCs w:val="false"/>
          <w:i w:val="false"/>
          <w:iCs w:val="false"/>
          <w:color w:val="000000"/>
          <w:sz w:val="20"/>
          <w:szCs w:val="20"/>
        </w:rPr>
        <w:t xml:space="preserve">11.1 Nous conservons les droits d'auteur sur tout document ou outil de travail que nous avons préparé pour vous, sauf accord spécifique contraire.</w:t>
      </w:r>
    </w:p>
    <w:p>
      <w:pPr>
        <w:keepNext w:val="false"/>
        <w:spacing w:after="120"/>
        <w:jc w:val="both"/>
      </w:pPr>
      <w:r>
        <w:rPr>
          <w:rFonts w:ascii="Arial" w:cs="Arial" w:eastAsia="Arial" w:hAnsi="Arial"/>
          <w:b w:val="false"/>
          <w:bCs w:val="false"/>
          <w:i w:val="false"/>
          <w:iCs w:val="false"/>
          <w:color w:val="000000"/>
          <w:sz w:val="20"/>
          <w:szCs w:val="20"/>
        </w:rPr>
        <w:t xml:space="preserve">11.2 Nous vous accordons une licence non exclusive sans droits d'auteur, vous autorisant à utiliser les documents uniquement dans le cadre du projet pour lequel ils ont été élaborés ou produits.</w:t>
      </w:r>
    </w:p>
    <w:p>
      <w:pPr>
        <w:keepNext w:val="false"/>
        <w:spacing w:after="120"/>
        <w:jc w:val="both"/>
      </w:pPr>
      <w:r>
        <w:rPr>
          <w:rFonts w:ascii="Arial" w:cs="Arial" w:eastAsia="Arial" w:hAnsi="Arial"/>
          <w:b/>
          <w:bCs/>
          <w:i w:val="false"/>
          <w:iCs w:val="false"/>
          <w:color w:val="EA4E00"/>
          <w:sz w:val="22"/>
          <w:szCs w:val="22"/>
        </w:rPr>
        <w:t xml:space="preserve">12. RESPONSABILITÉ</w:t>
      </w:r>
    </w:p>
    <w:p>
      <w:pPr>
        <w:keepNext w:val="false"/>
        <w:spacing w:after="120"/>
        <w:jc w:val="both"/>
      </w:pPr>
      <w:r>
        <w:rPr>
          <w:rFonts w:ascii="Arial" w:cs="Arial" w:eastAsia="Arial" w:hAnsi="Arial"/>
          <w:b w:val="false"/>
          <w:bCs w:val="false"/>
          <w:i w:val="false"/>
          <w:iCs w:val="false"/>
          <w:color w:val="000000"/>
          <w:sz w:val="20"/>
          <w:szCs w:val="20"/>
        </w:rPr>
        <w:t xml:space="preserve">12.1 Pendant la période où ce contrat est en vigueur, nous souscrirons une assurance accidents du travail et une assurance de responsabilité civile.</w:t>
      </w:r>
    </w:p>
    <w:p>
      <w:pPr>
        <w:keepNext w:val="false"/>
        <w:spacing w:after="120"/>
        <w:jc w:val="both"/>
      </w:pPr>
      <w:r>
        <w:rPr>
          <w:rFonts w:ascii="Arial" w:cs="Arial" w:eastAsia="Arial" w:hAnsi="Arial"/>
          <w:b w:val="false"/>
          <w:bCs w:val="false"/>
          <w:i w:val="false"/>
          <w:iCs w:val="false"/>
          <w:color w:val="000000"/>
          <w:sz w:val="20"/>
          <w:szCs w:val="20"/>
        </w:rPr>
        <w:t xml:space="preserve">12.2 La portée de notre travail ne comprendra pas de conseils sur les répercussions commerciales d'un projet, sur des problèmes financiers ou comptables.</w:t>
      </w:r>
    </w:p>
    <w:p>
      <w:pPr>
        <w:keepNext w:val="false"/>
        <w:spacing w:after="120"/>
        <w:jc w:val="both"/>
      </w:pPr>
      <w:r>
        <w:rPr>
          <w:rFonts w:ascii="Arial" w:cs="Arial" w:eastAsia="Arial" w:hAnsi="Arial"/>
          <w:b w:val="false"/>
          <w:bCs w:val="false"/>
          <w:i w:val="false"/>
          <w:iCs w:val="false"/>
          <w:color w:val="000000"/>
          <w:sz w:val="20"/>
          <w:szCs w:val="20"/>
        </w:rPr>
        <w:t xml:space="preserve">12.3 Notre conseil est spécifique à votre situation. Nous nous dégageons de toute responsabilité vis-à-vis de toute personne à qui notre conseil ne s'adresse pas.</w:t>
      </w:r>
    </w:p>
    <w:p>
      <w:pPr>
        <w:keepNext w:val="false"/>
        <w:spacing w:after="120"/>
        <w:jc w:val="both"/>
      </w:pPr>
      <w:r>
        <w:rPr>
          <w:rFonts w:ascii="Arial" w:cs="Arial" w:eastAsia="Arial" w:hAnsi="Arial"/>
          <w:b/>
          <w:bCs/>
          <w:i w:val="false"/>
          <w:iCs w:val="false"/>
          <w:color w:val="EA4E00"/>
          <w:sz w:val="22"/>
          <w:szCs w:val="22"/>
        </w:rPr>
        <w:t xml:space="preserve">13. PROCÉDURE DE PLAINTE</w:t>
      </w:r>
    </w:p>
    <w:p>
      <w:pPr>
        <w:keepNext w:val="false"/>
        <w:spacing w:after="120"/>
        <w:jc w:val="both"/>
      </w:pPr>
      <w:r>
        <w:rPr>
          <w:rFonts w:ascii="Arial" w:cs="Arial" w:eastAsia="Arial" w:hAnsi="Arial"/>
          <w:b w:val="false"/>
          <w:bCs w:val="false"/>
          <w:i w:val="false"/>
          <w:iCs w:val="false"/>
          <w:color w:val="000000"/>
          <w:sz w:val="20"/>
          <w:szCs w:val="20"/>
        </w:rPr>
        <w:t xml:space="preserve">13.1 Le bureau d'études s'engage à fournir un service de haute qualité. Tous les litiges auxquels le marché pourra donner lieu seront, dans toute la mesure du possible, résolus amiablement, et éventuellement par voie d'arbitrage. Les litiges sont portés devant les tribunaux de Saint-Denis La Réunion. Le droit applicable est le droit français.</w:t>
      </w:r>
    </w:p>
    <w:p>
      <w:pPr>
        <w:keepNext w:val="false"/>
        <w:spacing w:after="120"/>
        <w:jc w:val="both"/>
      </w:pPr>
      <w:r>
        <w:rPr>
          <w:rFonts w:ascii="Arial" w:cs="Arial" w:eastAsia="Arial" w:hAnsi="Arial"/>
          <w:b w:val="false"/>
          <w:bCs w:val="false"/>
          <w:i w:val="false"/>
          <w:iCs w:val="false"/>
          <w:color w:val="000000"/>
          <w:sz w:val="20"/>
          <w:szCs w:val="20"/>
        </w:rPr>
        <w:t xml:space="preserve">13.2 En cas de demande ou de plainte concernant notre service, veuillez contacter sans délai le consultant responsable mentionné dans le contrat.</w:t>
      </w:r>
    </w:p>
    <w:p>
      <w:pPr>
        <w:keepNext w:val="false"/>
        <w:spacing w:after="120"/>
        <w:jc w:val="both"/>
      </w:pPr>
      <w:r>
        <w:rPr>
          <w:rFonts w:ascii="Arial" w:cs="Arial" w:eastAsia="Arial" w:hAnsi="Arial"/>
          <w:b/>
          <w:bCs/>
          <w:i w:val="false"/>
          <w:iCs w:val="false"/>
          <w:color w:val="EA4E00"/>
          <w:sz w:val="22"/>
          <w:szCs w:val="22"/>
        </w:rPr>
        <w:t xml:space="preserve">14. RÉSILIATION</w:t>
      </w:r>
    </w:p>
    <w:p>
      <w:pPr>
        <w:keepNext w:val="false"/>
        <w:spacing w:after="120"/>
        <w:jc w:val="both"/>
      </w:pPr>
      <w:r>
        <w:rPr>
          <w:rFonts w:ascii="Arial" w:cs="Arial" w:eastAsia="Arial" w:hAnsi="Arial"/>
          <w:b w:val="false"/>
          <w:bCs w:val="false"/>
          <w:i w:val="false"/>
          <w:iCs w:val="false"/>
          <w:color w:val="000000"/>
          <w:sz w:val="20"/>
          <w:szCs w:val="20"/>
        </w:rPr>
        <w:t xml:space="preserve">14.1 Vous pouvez résilier vos instructions à n'importe quel moment en nous en informant par écrit. Nous ne cesserons de travailler pour vous que si vous n'avez pas réglé une facture après un mois, si vous ne satisfaites pas à notre demande de régler nos honoraires, ou si nous ne pouvons pas obtenir d'instructions claires de votre part.</w:t>
      </w:r>
    </w:p>
    <w:p>
      <w:pPr>
        <w:keepNext w:val="false"/>
        <w:spacing w:after="120"/>
        <w:jc w:val="both"/>
      </w:pPr>
      <w:r>
        <w:rPr>
          <w:rFonts w:ascii="Arial" w:cs="Arial" w:eastAsia="Arial" w:hAnsi="Arial"/>
          <w:b w:val="false"/>
          <w:bCs w:val="false"/>
          <w:i w:val="false"/>
          <w:iCs w:val="false"/>
          <w:color w:val="000000"/>
          <w:sz w:val="20"/>
          <w:szCs w:val="20"/>
        </w:rPr>
        <w:t xml:space="preserve">14.2 La résiliation n'altèrera pas notre droit à obtenir le règlement du travail effectué jusqu'à la date de résiliation.</w:t>
      </w:r>
    </w:p>
    <w:p>
      <w:pPr>
        <w:keepNext w:val="false"/>
        <w:spacing w:after="120"/>
        <w:jc w:val="both"/>
      </w:pPr>
      <w:r>
        <w:rPr>
          <w:rFonts w:ascii="Arial" w:cs="Arial" w:eastAsia="Arial" w:hAnsi="Arial"/>
          <w:b/>
          <w:bCs/>
          <w:i w:val="false"/>
          <w:iCs w:val="false"/>
          <w:color w:val="EA4E00"/>
          <w:sz w:val="22"/>
          <w:szCs w:val="22"/>
        </w:rPr>
        <w:t xml:space="preserve">15. GÉNÉRALITÉS</w:t>
      </w:r>
    </w:p>
    <w:p>
      <w:pPr>
        <w:keepNext w:val="false"/>
        <w:spacing w:after="120"/>
        <w:jc w:val="both"/>
      </w:pPr>
      <w:r>
        <w:rPr>
          <w:rFonts w:ascii="Arial" w:cs="Arial" w:eastAsia="Arial" w:hAnsi="Arial"/>
          <w:b w:val="false"/>
          <w:bCs w:val="false"/>
          <w:i w:val="false"/>
          <w:iCs w:val="false"/>
          <w:color w:val="000000"/>
          <w:sz w:val="20"/>
          <w:szCs w:val="20"/>
        </w:rPr>
        <w:t xml:space="preserve">15.1 Les présentes conditions générales, de même que nos services, sont régis par le droit français et vous comme nous sommes irrévocablement assujettis à la compétence des tribunaux français.</w:t>
      </w:r>
    </w:p>
    <w:p>
      <w:pPr>
        <w:keepNext w:val="false"/>
        <w:spacing w:after="120"/>
        <w:jc w:val="both"/>
      </w:pPr>
      <w:r>
        <w:rPr>
          <w:rFonts w:ascii="Arial" w:cs="Arial" w:eastAsia="Arial" w:hAnsi="Arial"/>
          <w:b w:val="false"/>
          <w:bCs w:val="false"/>
          <w:i w:val="false"/>
          <w:iCs w:val="false"/>
          <w:color w:val="000000"/>
          <w:sz w:val="20"/>
          <w:szCs w:val="20"/>
        </w:rPr>
        <w:t xml:space="preserve">15.2 La mention « vous » ou notre « client » renvoie à nos clients, tels qu'identifiés dans la lettre que nous vous avons adressée ou dans toute autre communication écrite.</w:t>
      </w:r>
    </w:p>
    <w:p>
      <w:pPr>
        <w:keepNext w:val="false"/>
        <w:spacing w:after="120"/>
        <w:jc w:val="both"/>
      </w:pPr>
      <w:r>
        <w:rPr>
          <w:rFonts w:ascii="Arial" w:cs="Arial" w:eastAsia="Arial" w:hAnsi="Arial"/>
          <w:b w:val="false"/>
          <w:bCs w:val="false"/>
          <w:i w:val="false"/>
          <w:iCs w:val="false"/>
          <w:color w:val="000000"/>
          <w:sz w:val="20"/>
          <w:szCs w:val="20"/>
        </w:rPr>
        <w:t xml:space="preserve">15.3 Si l'une des dispositions des présentes conditions est considérée nulle ou inapplicable, l'intégralité des autres dispositions restera en vigueur et de plein effet.</w:t>
      </w:r>
    </w:p>
    <w:sectPr>
      <w:headerReference w:type="default" r:id="rId7"/>
      <w:footerReference w:type="default" r:id="rId8"/>
      <w:pgSz w:w="11906" w:h="16838" w:orient="portrait"/>
      <w:pgMar w:top="1700"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E9DAE" w:sz="6" w:space="0"/>
      </w:pBdr>
      <w:tabs>
        <w:tab w:val="center" w:pos="4500"/>
        <w:tab w:val="right" w:pos="9026"/>
      </w:tabs>
      <w:spacing w:before="80"/>
    </w:pPr>
    <w:r>
      <w:rPr>
        <w:rFonts w:ascii="Arial" w:cs="Arial" w:eastAsia="Arial" w:hAnsi="Arial"/>
        <w:color w:val="8E9DAE"/>
        <w:sz w:val="16"/>
        <w:szCs w:val="16"/>
      </w:rPr>
      <w:t xml:space="preserve">LVO-INGENIERIE — LVO-A-26006 — Offre de Service — Residence Le Marais</w:t>
      <w:tab/>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3500"/>
          <w:vAlign w:val="center"/>
        </w:tcPr>
        <w:p>
          <w:r>
            <w:drawing>
              <wp:inline distT="0" distB="0" distL="0" distR="0">
                <wp:extent cx="1428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14375"/>
                        </a:xfrm>
                        <a:prstGeom prst="rect">
                          <a:avLst/>
                        </a:prstGeom>
                      </pic:spPr>
                    </pic:pic>
                  </a:graphicData>
                </a:graphic>
              </wp:inline>
            </w:drawing>
          </w:r>
        </w:p>
      </w:tc>
      <w:tc>
        <w:tcPr>
          <w:tcW w:type="dxa" w:w="5526"/>
          <w:vAlign w:val="center"/>
        </w:tcPr>
        <w:p>
          <w:pPr>
            <w:jc w:val="right"/>
          </w:pPr>
          <w:r>
            <w:rPr>
              <w:rFonts w:ascii="Arial" w:cs="Arial" w:eastAsia="Arial" w:hAnsi="Arial"/>
              <w:color w:val="8E9DAE"/>
              <w:sz w:val="16"/>
              <w:szCs w:val="16"/>
            </w:rPr>
            <w:t xml:space="preserve">Centre d'affaires CADJEE — 62 Bd du Chaudron</w:t>
          </w:r>
        </w:p>
        <w:p>
          <w:pPr>
            <w:jc w:val="right"/>
          </w:pPr>
          <w:r>
            <w:rPr>
              <w:rFonts w:ascii="Arial" w:cs="Arial" w:eastAsia="Arial" w:hAnsi="Arial"/>
              <w:color w:val="8E9DAE"/>
              <w:sz w:val="16"/>
              <w:szCs w:val="16"/>
            </w:rPr>
            <w:t xml:space="preserve">97491 Saint-Denis La Réunion  |  Tél : 06 92 05 39 52</w:t>
          </w:r>
        </w:p>
        <w:p>
          <w:pPr>
            <w:jc w:val="right"/>
          </w:pPr>
          <w:r>
            <w:rPr>
              <w:rFonts w:ascii="Arial" w:cs="Arial" w:eastAsia="Arial" w:hAnsi="Arial"/>
              <w:color w:val="FF6B00"/>
              <w:sz w:val="16"/>
              <w:szCs w:val="16"/>
            </w:rPr>
            <w:t xml:space="preserve">hatem.lembarki@lvo-ing.com</w:t>
          </w:r>
        </w:p>
      </w:tc>
    </w:tr>
  </w:tbl>
  <w:p>
    <w:pPr>
      <w:pBdr>
        <w:bottom w:val="single" w:color="1A2B4C" w:sz="12" w:space="0"/>
      </w:pBdr>
      <w:spacing w:after="80"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5d65ead14db9d627431505d4a3f03582223e9e.jpg"/><Relationship Id="rId10" Type="http://schemas.openxmlformats.org/officeDocument/2006/relationships/image" Target="media/93744b1d7a71ee4899dedd2b104fcfd125980132.jpg"/><Relationship Id="rId11" Type="http://schemas.openxmlformats.org/officeDocument/2006/relationships/image" Target="media/40a0260124f9fa3b7ed1a57f9fbe08f5184c3cd4.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25d65ead14db9d627431505d4a3f03582223e9e.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2026-09-15T21:37:58.261Z</dcterms:created>
  <dcterms:modified xsi:type="dcterms:W3CDTF">2026-09-15T21:37:58.261Z</dcterms:modified>
</cp:coreProperties>
</file>

<file path=docProps/custom.xml><?xml version="1.0" encoding="utf-8"?>
<Properties xmlns="http://schemas.openxmlformats.org/officeDocument/2006/custom-properties" xmlns:vt="http://schemas.openxmlformats.org/officeDocument/2006/docPropsVTypes"/>
</file>