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Audit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Résidence Les Flamboyants</w:t>
            </w:r>
            <w:r>
              <w:br/>
              <w:t xml:space="preserve"/>
            </w:r>
            <w:r>
              <w:rPr>
                <w:rFonts w:ascii="Arial" w:cs="Arial" w:eastAsia="Arial" w:hAnsi="Arial"/>
                <w:b w:val="false"/>
                <w:bCs w:val="false"/>
                <w:color w:val="8E9DAE"/>
                <w:sz w:val="22"/>
                <w:szCs w:val="22"/>
              </w:rPr>
              <w:t xml:space="preserve">12 rue des Lataniers, 97400 Saint-Denis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SHLMR</w:t>
            </w:r>
            <w:r>
              <w:br/>
              <w:t xml:space="preserve"/>
            </w:r>
            <w:r>
              <w:rPr>
                <w:rFonts w:ascii="Arial" w:cs="Arial" w:eastAsia="Arial" w:hAnsi="Arial"/>
                <w:b w:val="false"/>
                <w:bCs w:val="false"/>
                <w:color w:val="333333"/>
                <w:sz w:val="19"/>
                <w:szCs w:val="19"/>
              </w:rPr>
              <w:t xml:space="preserve">Direction du Patrimoine</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Olivier PAYET (Responsable technique)</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LVO-audit-26101</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SHLMR</w:t>
      </w:r>
    </w:p>
    <w:p>
      <w:pPr>
        <w:keepNext w:val="false"/>
        <w:spacing w:after="120"/>
        <w:jc w:val="both"/>
      </w:pPr>
      <w:r>
        <w:rPr>
          <w:rFonts w:ascii="Arial" w:cs="Arial" w:eastAsia="Arial" w:hAnsi="Arial"/>
          <w:b w:val="false"/>
          <w:bCs w:val="false"/>
          <w:i w:val="false"/>
          <w:iCs w:val="false"/>
          <w:color w:val="000000"/>
          <w:sz w:val="20"/>
          <w:szCs w:val="20"/>
        </w:rPr>
        <w:t xml:space="preserve">Direction du Patrimoine</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Olivier PAYET (Responsable technique)</w:t>
      </w:r>
    </w:p>
    <w:p/>
    <w:p>
      <w:pPr>
        <w:keepNext w:val="false"/>
        <w:spacing w:after="120"/>
        <w:jc w:val="both"/>
      </w:pPr>
      <w:r>
        <w:rPr>
          <w:rFonts w:ascii="Arial" w:cs="Arial" w:eastAsia="Arial" w:hAnsi="Arial"/>
          <w:b/>
          <w:bCs/>
          <w:i w:val="false"/>
          <w:iCs w:val="false"/>
          <w:color w:val="000000"/>
          <w:sz w:val="20"/>
          <w:szCs w:val="20"/>
        </w:rPr>
        <w:t xml:space="preserve">Réf : LVO-audit-26101</w:t>
      </w:r>
    </w:p>
    <w:p>
      <w:pPr>
        <w:keepNext w:val="false"/>
        <w:spacing w:after="120"/>
        <w:jc w:val="both"/>
      </w:pPr>
      <w:r>
        <w:rPr>
          <w:rFonts w:ascii="Arial" w:cs="Arial" w:eastAsia="Arial" w:hAnsi="Arial"/>
          <w:b/>
          <w:bCs/>
          <w:i w:val="false"/>
          <w:iCs w:val="false"/>
          <w:color w:val="000000"/>
          <w:sz w:val="20"/>
          <w:szCs w:val="20"/>
        </w:rPr>
        <w:t xml:space="preserve">Objet : Résidence Les Flamboyants - 12 rue des Lataniers, 97400 Saint-Denis</w:t>
      </w:r>
    </w:p>
    <w:p/>
    <w:p>
      <w:pPr>
        <w:keepNext w:val="false"/>
        <w:spacing w:after="120"/>
        <w:jc w:val="both"/>
      </w:pPr>
      <w:r>
        <w:rPr>
          <w:rFonts w:ascii="Arial" w:cs="Arial" w:eastAsia="Arial" w:hAnsi="Arial"/>
          <w:b/>
          <w:bCs/>
          <w:i w:val="false"/>
          <w:iCs w:val="false"/>
          <w:color w:val="000000"/>
          <w:sz w:val="20"/>
          <w:szCs w:val="20"/>
        </w:rPr>
        <w:t xml:space="preserve">Mission : Audit</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Résidence Les Flamboyants situé 12 rue des Lataniers, 97400 Saint-Denis,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Audit Complet</w:t>
            </w:r>
          </w:p>
        </w:tc>
      </w:tr>
    </w:tbl>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bCs/>
          <w:i w:val="false"/>
          <w:iCs w:val="false"/>
          <w:color w:val="EA4E00"/>
          <w:sz w:val="22"/>
          <w:szCs w:val="22"/>
        </w:rPr>
        <w:t xml:space="preserve">1. Collecte et Analyse des Données</w:t>
      </w:r>
    </w:p>
    <w:p>
      <w:pPr>
        <w:spacing w:after="60" w:before="120"/>
      </w:pPr>
      <w:r>
        <w:rPr>
          <w:rFonts w:ascii="Arial" w:cs="Arial" w:eastAsia="Arial" w:hAnsi="Arial"/>
          <w:b/>
          <w:bCs/>
          <w:color w:val="EA4E00"/>
          <w:sz w:val="20"/>
          <w:szCs w:val="20"/>
        </w:rPr>
        <w:t xml:space="preserve">a. Inventaire des équipements</w:t>
      </w:r>
    </w:p>
    <w:p>
      <w:pPr>
        <w:keepNext w:val="false"/>
        <w:spacing w:after="120"/>
        <w:jc w:val="both"/>
      </w:pPr>
      <w:r>
        <w:rPr>
          <w:rFonts w:ascii="Arial" w:cs="Arial" w:eastAsia="Arial" w:hAnsi="Arial"/>
          <w:b w:val="false"/>
          <w:bCs w:val="false"/>
          <w:i w:val="false"/>
          <w:iCs w:val="false"/>
          <w:color w:val="000000"/>
          <w:sz w:val="20"/>
          <w:szCs w:val="20"/>
        </w:rPr>
        <w:t xml:space="preserve">Réalisation d'un inventaire détaillé de l'ensemble des équipements de transport vertical inclus dans la mission. Cet inventaire comprendra notamment :</w:t>
      </w:r>
    </w:p>
    <w:p>
      <w:pPr>
        <w:spacing w:after="60"/>
        <w:ind w:left="360"/>
      </w:pPr>
      <w:r>
        <w:rPr>
          <w:rFonts w:ascii="Arial" w:cs="Arial" w:eastAsia="Arial" w:hAnsi="Arial"/>
          <w:sz w:val="20"/>
          <w:szCs w:val="20"/>
        </w:rPr>
        <w:t xml:space="preserve">• La localisation de chaque appareil au sein du site ;</w:t>
      </w:r>
    </w:p>
    <w:p>
      <w:pPr>
        <w:spacing w:after="60"/>
        <w:ind w:left="360"/>
      </w:pPr>
      <w:r>
        <w:rPr>
          <w:rFonts w:ascii="Arial" w:cs="Arial" w:eastAsia="Arial" w:hAnsi="Arial"/>
          <w:sz w:val="20"/>
          <w:szCs w:val="20"/>
        </w:rPr>
        <w:t xml:space="preserve">• Les caractéristiques techniques principales ;</w:t>
      </w:r>
    </w:p>
    <w:p>
      <w:pPr>
        <w:spacing w:after="60"/>
        <w:ind w:left="360"/>
      </w:pPr>
      <w:r>
        <w:rPr>
          <w:rFonts w:ascii="Arial" w:cs="Arial" w:eastAsia="Arial" w:hAnsi="Arial"/>
          <w:sz w:val="20"/>
          <w:szCs w:val="20"/>
        </w:rPr>
        <w:t xml:space="preserve">• L'état général des installations ;</w:t>
      </w:r>
    </w:p>
    <w:p>
      <w:pPr>
        <w:spacing w:after="60"/>
        <w:ind w:left="360"/>
      </w:pPr>
      <w:r>
        <w:rPr>
          <w:rFonts w:ascii="Arial" w:cs="Arial" w:eastAsia="Arial" w:hAnsi="Arial"/>
          <w:sz w:val="20"/>
          <w:szCs w:val="20"/>
        </w:rPr>
        <w:t xml:space="preserve">• La pertinence des solutions de maintenance et de réparation actuellement mises en œuvre ;</w:t>
      </w:r>
    </w:p>
    <w:p>
      <w:pPr>
        <w:spacing w:after="60"/>
        <w:ind w:left="360"/>
      </w:pPr>
      <w:r>
        <w:rPr>
          <w:rFonts w:ascii="Arial" w:cs="Arial" w:eastAsia="Arial" w:hAnsi="Arial"/>
          <w:sz w:val="20"/>
          <w:szCs w:val="20"/>
        </w:rPr>
        <w:t xml:space="preserve">• Le niveau de conformité aux réglementations européennes et françaises en vigueur ;</w:t>
      </w:r>
    </w:p>
    <w:p>
      <w:pPr>
        <w:spacing w:after="60"/>
        <w:ind w:left="360"/>
      </w:pPr>
      <w:r>
        <w:rPr>
          <w:rFonts w:ascii="Arial" w:cs="Arial" w:eastAsia="Arial" w:hAnsi="Arial"/>
          <w:sz w:val="20"/>
          <w:szCs w:val="20"/>
        </w:rPr>
        <w:t xml:space="preserve">• La conformité aux exigences relatives à la sécurité et à la protection de la santé ;</w:t>
      </w:r>
    </w:p>
    <w:p>
      <w:pPr>
        <w:spacing w:after="60"/>
        <w:ind w:left="360"/>
      </w:pPr>
      <w:r>
        <w:rPr>
          <w:rFonts w:ascii="Arial" w:cs="Arial" w:eastAsia="Arial" w:hAnsi="Arial"/>
          <w:sz w:val="20"/>
          <w:szCs w:val="20"/>
        </w:rPr>
        <w:t xml:space="preserve">• L'appréciation de la fiabilité et de l'aspect général des équipements.</w:t>
      </w:r>
    </w:p>
    <w:p>
      <w:pPr>
        <w:spacing w:after="60" w:before="120"/>
      </w:pPr>
      <w:r>
        <w:rPr>
          <w:rFonts w:ascii="Arial" w:cs="Arial" w:eastAsia="Arial" w:hAnsi="Arial"/>
          <w:b/>
          <w:bCs/>
          <w:color w:val="EA4E00"/>
          <w:sz w:val="20"/>
          <w:szCs w:val="20"/>
        </w:rPr>
        <w:t xml:space="preserve">b. Évaluation technique des équipements</w:t>
      </w:r>
    </w:p>
    <w:p>
      <w:pPr>
        <w:keepNext w:val="false"/>
        <w:spacing w:after="120"/>
        <w:jc w:val="both"/>
      </w:pPr>
      <w:r>
        <w:rPr>
          <w:rFonts w:ascii="Arial" w:cs="Arial" w:eastAsia="Arial" w:hAnsi="Arial"/>
          <w:b w:val="false"/>
          <w:bCs w:val="false"/>
          <w:i w:val="false"/>
          <w:iCs w:val="false"/>
          <w:color w:val="000000"/>
          <w:sz w:val="20"/>
          <w:szCs w:val="20"/>
        </w:rPr>
        <w:t xml:space="preserve">Inspection approfondie de chaque appareil, accompagnée d'une analyse qualitative portant, selon la configuration des installations, sur les éléments suivants :</w:t>
      </w:r>
    </w:p>
    <w:p>
      <w:pPr>
        <w:spacing w:after="60"/>
        <w:ind w:left="360"/>
      </w:pPr>
      <w:r>
        <w:rPr>
          <w:rFonts w:ascii="Arial" w:cs="Arial" w:eastAsia="Arial" w:hAnsi="Arial"/>
          <w:sz w:val="20"/>
          <w:szCs w:val="20"/>
        </w:rPr>
        <w:t xml:space="preserve">• Qualité de fonctionnement, bruit et vibrations ;</w:t>
      </w:r>
    </w:p>
    <w:p>
      <w:pPr>
        <w:spacing w:after="60"/>
        <w:ind w:left="360"/>
      </w:pPr>
      <w:r>
        <w:rPr>
          <w:rFonts w:ascii="Arial" w:cs="Arial" w:eastAsia="Arial" w:hAnsi="Arial"/>
          <w:sz w:val="20"/>
          <w:szCs w:val="20"/>
        </w:rPr>
        <w:t xml:space="preserve">• Précision d'arrêt aux niveaux ;</w:t>
      </w:r>
    </w:p>
    <w:p>
      <w:pPr>
        <w:spacing w:after="60"/>
        <w:ind w:left="360"/>
      </w:pPr>
      <w:r>
        <w:rPr>
          <w:rFonts w:ascii="Arial" w:cs="Arial" w:eastAsia="Arial" w:hAnsi="Arial"/>
          <w:sz w:val="20"/>
          <w:szCs w:val="20"/>
        </w:rPr>
        <w:t xml:space="preserve">• Systèmes de détection des passagers ;</w:t>
      </w:r>
    </w:p>
    <w:p>
      <w:pPr>
        <w:spacing w:after="60"/>
        <w:ind w:left="360"/>
      </w:pPr>
      <w:r>
        <w:rPr>
          <w:rFonts w:ascii="Arial" w:cs="Arial" w:eastAsia="Arial" w:hAnsi="Arial"/>
          <w:sz w:val="20"/>
          <w:szCs w:val="20"/>
        </w:rPr>
        <w:t xml:space="preserve">• Fonctionnement des portes cabine et palières ;</w:t>
      </w:r>
    </w:p>
    <w:p>
      <w:pPr>
        <w:spacing w:after="60"/>
        <w:ind w:left="360"/>
      </w:pPr>
      <w:r>
        <w:rPr>
          <w:rFonts w:ascii="Arial" w:cs="Arial" w:eastAsia="Arial" w:hAnsi="Arial"/>
          <w:sz w:val="20"/>
          <w:szCs w:val="20"/>
        </w:rPr>
        <w:t xml:space="preserve">• Dispositifs d'alarme et système de téléalarme ;</w:t>
      </w:r>
    </w:p>
    <w:p>
      <w:pPr>
        <w:spacing w:after="60"/>
        <w:ind w:left="360"/>
      </w:pPr>
      <w:r>
        <w:rPr>
          <w:rFonts w:ascii="Arial" w:cs="Arial" w:eastAsia="Arial" w:hAnsi="Arial"/>
          <w:sz w:val="20"/>
          <w:szCs w:val="20"/>
        </w:rPr>
        <w:t xml:space="preserve">• État des finitions intérieures de la cabine ;</w:t>
      </w:r>
    </w:p>
    <w:p>
      <w:pPr>
        <w:spacing w:after="60"/>
        <w:ind w:left="360"/>
      </w:pPr>
      <w:r>
        <w:rPr>
          <w:rFonts w:ascii="Arial" w:cs="Arial" w:eastAsia="Arial" w:hAnsi="Arial"/>
          <w:sz w:val="20"/>
          <w:szCs w:val="20"/>
        </w:rPr>
        <w:t xml:space="preserve">• Fonctionnement des organes de commande ;</w:t>
      </w:r>
    </w:p>
    <w:p>
      <w:pPr>
        <w:spacing w:after="60"/>
        <w:ind w:left="360"/>
      </w:pPr>
      <w:r>
        <w:rPr>
          <w:rFonts w:ascii="Arial" w:cs="Arial" w:eastAsia="Arial" w:hAnsi="Arial"/>
          <w:sz w:val="20"/>
          <w:szCs w:val="20"/>
        </w:rPr>
        <w:t xml:space="preserve">• Éclairage de la cabine, de la machinerie et de la gaine ;</w:t>
      </w:r>
    </w:p>
    <w:p>
      <w:pPr>
        <w:spacing w:after="60"/>
        <w:ind w:left="360"/>
      </w:pPr>
      <w:r>
        <w:rPr>
          <w:rFonts w:ascii="Arial" w:cs="Arial" w:eastAsia="Arial" w:hAnsi="Arial"/>
          <w:sz w:val="20"/>
          <w:szCs w:val="20"/>
        </w:rPr>
        <w:t xml:space="preserve">• Propreté générale de l'installation ;</w:t>
      </w:r>
    </w:p>
    <w:p>
      <w:pPr>
        <w:spacing w:after="60"/>
        <w:ind w:left="360"/>
      </w:pPr>
      <w:r>
        <w:rPr>
          <w:rFonts w:ascii="Arial" w:cs="Arial" w:eastAsia="Arial" w:hAnsi="Arial"/>
          <w:sz w:val="20"/>
          <w:szCs w:val="20"/>
        </w:rPr>
        <w:t xml:space="preserve">• Signalisation réglementaire et notices d'utilisation ;</w:t>
      </w:r>
    </w:p>
    <w:p>
      <w:pPr>
        <w:spacing w:after="60"/>
        <w:ind w:left="360"/>
      </w:pPr>
      <w:r>
        <w:rPr>
          <w:rFonts w:ascii="Arial" w:cs="Arial" w:eastAsia="Arial" w:hAnsi="Arial"/>
          <w:sz w:val="20"/>
          <w:szCs w:val="20"/>
        </w:rPr>
        <w:t xml:space="preserve">• État du tableau de commande et de l'armoire de contrôle ;</w:t>
      </w:r>
    </w:p>
    <w:p>
      <w:pPr>
        <w:spacing w:after="60"/>
        <w:ind w:left="360"/>
      </w:pPr>
      <w:r>
        <w:rPr>
          <w:rFonts w:ascii="Arial" w:cs="Arial" w:eastAsia="Arial" w:hAnsi="Arial"/>
          <w:sz w:val="20"/>
          <w:szCs w:val="20"/>
        </w:rPr>
        <w:t xml:space="preserve">• État du système d'entraînement, de la pompe ou de la soupape hydraulique ;</w:t>
      </w:r>
    </w:p>
    <w:p>
      <w:pPr>
        <w:spacing w:after="60"/>
        <w:ind w:left="360"/>
      </w:pPr>
      <w:r>
        <w:rPr>
          <w:rFonts w:ascii="Arial" w:cs="Arial" w:eastAsia="Arial" w:hAnsi="Arial"/>
          <w:sz w:val="20"/>
          <w:szCs w:val="20"/>
        </w:rPr>
        <w:t xml:space="preserve">• État des poulies, câbles et organes mécaniques ;</w:t>
      </w:r>
    </w:p>
    <w:p>
      <w:pPr>
        <w:spacing w:after="60"/>
        <w:ind w:left="360"/>
      </w:pPr>
      <w:r>
        <w:rPr>
          <w:rFonts w:ascii="Arial" w:cs="Arial" w:eastAsia="Arial" w:hAnsi="Arial"/>
          <w:sz w:val="20"/>
          <w:szCs w:val="20"/>
        </w:rPr>
        <w:t xml:space="preserve">• Dispositifs de rappel et de secours ;</w:t>
      </w:r>
    </w:p>
    <w:p>
      <w:pPr>
        <w:spacing w:after="60"/>
        <w:ind w:left="360"/>
      </w:pPr>
      <w:r>
        <w:rPr>
          <w:rFonts w:ascii="Arial" w:cs="Arial" w:eastAsia="Arial" w:hAnsi="Arial"/>
          <w:sz w:val="20"/>
          <w:szCs w:val="20"/>
        </w:rPr>
        <w:t xml:space="preserve">• Mécanismes de déverrouillage d'urgence ;</w:t>
      </w:r>
    </w:p>
    <w:p>
      <w:pPr>
        <w:spacing w:after="60"/>
        <w:ind w:left="360"/>
      </w:pPr>
      <w:r>
        <w:rPr>
          <w:rFonts w:ascii="Arial" w:cs="Arial" w:eastAsia="Arial" w:hAnsi="Arial"/>
          <w:sz w:val="20"/>
          <w:szCs w:val="20"/>
        </w:rPr>
        <w:t xml:space="preserve">• État du toit de cabine ;</w:t>
      </w:r>
    </w:p>
    <w:p>
      <w:pPr>
        <w:spacing w:after="60"/>
        <w:ind w:left="360"/>
      </w:pPr>
      <w:r>
        <w:rPr>
          <w:rFonts w:ascii="Arial" w:cs="Arial" w:eastAsia="Arial" w:hAnsi="Arial"/>
          <w:sz w:val="20"/>
          <w:szCs w:val="20"/>
        </w:rPr>
        <w:t xml:space="preserve">• État de la fosse et de la gaine ;</w:t>
      </w:r>
    </w:p>
    <w:p>
      <w:pPr>
        <w:spacing w:after="60"/>
        <w:ind w:left="360"/>
      </w:pPr>
      <w:r>
        <w:rPr>
          <w:rFonts w:ascii="Arial" w:cs="Arial" w:eastAsia="Arial" w:hAnsi="Arial"/>
          <w:sz w:val="20"/>
          <w:szCs w:val="20"/>
        </w:rPr>
        <w:t xml:space="preserve">• État des équipements de sécurité et de l'ossature de la gaine.</w:t>
      </w:r>
    </w:p>
    <w:p>
      <w:pPr>
        <w:spacing w:after="60" w:before="120"/>
      </w:pPr>
      <w:r>
        <w:rPr>
          <w:rFonts w:ascii="Arial" w:cs="Arial" w:eastAsia="Arial" w:hAnsi="Arial"/>
          <w:b/>
          <w:bCs/>
          <w:color w:val="EA4E00"/>
          <w:sz w:val="20"/>
          <w:szCs w:val="20"/>
        </w:rPr>
        <w:t xml:space="preserve">c. Évaluation de la maintenance</w:t>
      </w:r>
    </w:p>
    <w:p>
      <w:pPr>
        <w:keepNext w:val="false"/>
        <w:spacing w:after="120"/>
        <w:jc w:val="both"/>
      </w:pPr>
      <w:r>
        <w:rPr>
          <w:rFonts w:ascii="Arial" w:cs="Arial" w:eastAsia="Arial" w:hAnsi="Arial"/>
          <w:b w:val="false"/>
          <w:bCs w:val="false"/>
          <w:i w:val="false"/>
          <w:iCs w:val="false"/>
          <w:color w:val="000000"/>
          <w:sz w:val="20"/>
          <w:szCs w:val="20"/>
        </w:rPr>
        <w:t xml:space="preserve">Analyse de la qualité de la maintenance actuellement réalisée, incluant :</w:t>
      </w:r>
    </w:p>
    <w:p>
      <w:pPr>
        <w:spacing w:after="60"/>
        <w:ind w:left="360"/>
      </w:pPr>
      <w:r>
        <w:rPr>
          <w:rFonts w:ascii="Arial" w:cs="Arial" w:eastAsia="Arial" w:hAnsi="Arial"/>
          <w:sz w:val="20"/>
          <w:szCs w:val="20"/>
        </w:rPr>
        <w:t xml:space="preserve">• Les opérations de nettoyage, lubrification et réglage ;</w:t>
      </w:r>
    </w:p>
    <w:p>
      <w:pPr>
        <w:spacing w:after="60"/>
        <w:ind w:left="360"/>
      </w:pPr>
      <w:r>
        <w:rPr>
          <w:rFonts w:ascii="Arial" w:cs="Arial" w:eastAsia="Arial" w:hAnsi="Arial"/>
          <w:sz w:val="20"/>
          <w:szCs w:val="20"/>
        </w:rPr>
        <w:t xml:space="preserve">• Le remplacement ou la réparation des composants défectueux ;</w:t>
      </w:r>
    </w:p>
    <w:p>
      <w:pPr>
        <w:spacing w:after="60"/>
        <w:ind w:left="360"/>
      </w:pPr>
      <w:r>
        <w:rPr>
          <w:rFonts w:ascii="Arial" w:cs="Arial" w:eastAsia="Arial" w:hAnsi="Arial"/>
          <w:sz w:val="20"/>
          <w:szCs w:val="20"/>
        </w:rPr>
        <w:t xml:space="preserve">• La fréquence et la pertinence des visites d'entretien ;</w:t>
      </w:r>
    </w:p>
    <w:p>
      <w:pPr>
        <w:spacing w:after="60"/>
        <w:ind w:left="360"/>
      </w:pPr>
      <w:r>
        <w:rPr>
          <w:rFonts w:ascii="Arial" w:cs="Arial" w:eastAsia="Arial" w:hAnsi="Arial"/>
          <w:sz w:val="20"/>
          <w:szCs w:val="20"/>
        </w:rPr>
        <w:t xml:space="preserve">• L'évaluation globale de la performance du prestataire de maintenance ;</w:t>
      </w:r>
    </w:p>
    <w:p>
      <w:pPr>
        <w:spacing w:after="60"/>
        <w:ind w:left="360"/>
      </w:pPr>
      <w:r>
        <w:rPr>
          <w:rFonts w:ascii="Arial" w:cs="Arial" w:eastAsia="Arial" w:hAnsi="Arial"/>
          <w:sz w:val="20"/>
          <w:szCs w:val="20"/>
        </w:rPr>
        <w:t xml:space="preserve">• Les constats techniques ;</w:t>
      </w:r>
    </w:p>
    <w:p>
      <w:pPr>
        <w:spacing w:after="60"/>
        <w:ind w:left="360"/>
      </w:pPr>
      <w:r>
        <w:rPr>
          <w:rFonts w:ascii="Arial" w:cs="Arial" w:eastAsia="Arial" w:hAnsi="Arial"/>
          <w:sz w:val="20"/>
          <w:szCs w:val="20"/>
        </w:rPr>
        <w:t xml:space="preserve">• Les observations relatives à la maintenance ;</w:t>
      </w:r>
    </w:p>
    <w:p>
      <w:pPr>
        <w:spacing w:after="60"/>
        <w:ind w:left="360"/>
      </w:pPr>
      <w:r>
        <w:rPr>
          <w:rFonts w:ascii="Arial" w:cs="Arial" w:eastAsia="Arial" w:hAnsi="Arial"/>
          <w:sz w:val="20"/>
          <w:szCs w:val="20"/>
        </w:rPr>
        <w:t xml:space="preserve">• La liste des actions correctives ou réglages à réaliser par l'entreprise de maintenance.</w:t>
      </w:r>
    </w:p>
    <w:p>
      <w:pPr>
        <w:spacing w:after="60" w:before="120"/>
      </w:pPr>
      <w:r>
        <w:rPr>
          <w:rFonts w:ascii="Arial" w:cs="Arial" w:eastAsia="Arial" w:hAnsi="Arial"/>
          <w:b/>
          <w:bCs/>
          <w:color w:val="EA4E00"/>
          <w:sz w:val="20"/>
          <w:szCs w:val="20"/>
        </w:rPr>
        <w:t xml:space="preserve">d. Vérification de la conformité réglementaire</w:t>
      </w:r>
    </w:p>
    <w:p>
      <w:pPr>
        <w:keepNext w:val="false"/>
        <w:spacing w:after="120"/>
        <w:jc w:val="both"/>
      </w:pPr>
      <w:r>
        <w:rPr>
          <w:rFonts w:ascii="Arial" w:cs="Arial" w:eastAsia="Arial" w:hAnsi="Arial"/>
          <w:b w:val="false"/>
          <w:bCs w:val="false"/>
          <w:i w:val="false"/>
          <w:iCs w:val="false"/>
          <w:color w:val="000000"/>
          <w:sz w:val="20"/>
          <w:szCs w:val="20"/>
        </w:rPr>
        <w:t xml:space="preserve">Analyse du niveau de conformité des installations :</w:t>
      </w:r>
    </w:p>
    <w:p>
      <w:pPr>
        <w:spacing w:after="60"/>
        <w:ind w:left="360"/>
      </w:pPr>
      <w:r>
        <w:rPr>
          <w:rFonts w:ascii="Arial" w:cs="Arial" w:eastAsia="Arial" w:hAnsi="Arial"/>
          <w:sz w:val="20"/>
          <w:szCs w:val="20"/>
        </w:rPr>
        <w:t xml:space="preserve">• Aux normes européennes applicables ;</w:t>
      </w:r>
    </w:p>
    <w:p>
      <w:pPr>
        <w:spacing w:after="60"/>
        <w:ind w:left="360"/>
      </w:pPr>
      <w:r>
        <w:rPr>
          <w:rFonts w:ascii="Arial" w:cs="Arial" w:eastAsia="Arial" w:hAnsi="Arial"/>
          <w:sz w:val="20"/>
          <w:szCs w:val="20"/>
        </w:rPr>
        <w:t xml:space="preserve">• À la réglementation française en vigueur ;</w:t>
      </w:r>
    </w:p>
    <w:p>
      <w:pPr>
        <w:spacing w:after="60"/>
        <w:ind w:left="360"/>
      </w:pPr>
      <w:r>
        <w:rPr>
          <w:rFonts w:ascii="Arial" w:cs="Arial" w:eastAsia="Arial" w:hAnsi="Arial"/>
          <w:sz w:val="20"/>
          <w:szCs w:val="20"/>
        </w:rPr>
        <w:t xml:space="preserve">• Aux exigences relatives à la sécurité des usagers et du personnel.</w:t>
      </w:r>
    </w:p>
    <w:p>
      <w:pPr>
        <w:keepNext w:val="false"/>
        <w:spacing w:after="120"/>
        <w:jc w:val="both"/>
      </w:pPr>
      <w:r>
        <w:rPr>
          <w:rFonts w:ascii="Arial" w:cs="Arial" w:eastAsia="Arial" w:hAnsi="Arial"/>
          <w:b w:val="false"/>
          <w:bCs w:val="false"/>
          <w:i w:val="false"/>
          <w:iCs w:val="false"/>
          <w:color w:val="000000"/>
          <w:sz w:val="20"/>
          <w:szCs w:val="20"/>
        </w:rPr>
        <w:t xml:space="preserve">Cette analyse sera complétée par des recommandations de mise en conformité et d'amélioration lorsque cela sera jugé nécessaire.</w:t>
      </w:r>
    </w:p>
    <w:p>
      <w:pPr>
        <w:keepNext w:val="false"/>
        <w:spacing w:after="120"/>
        <w:jc w:val="both"/>
      </w:pPr>
      <w:r>
        <w:rPr>
          <w:rFonts w:ascii="Arial" w:cs="Arial" w:eastAsia="Arial" w:hAnsi="Arial"/>
          <w:b/>
          <w:bCs/>
          <w:i w:val="false"/>
          <w:iCs w:val="false"/>
          <w:color w:val="EA4E00"/>
          <w:sz w:val="22"/>
          <w:szCs w:val="22"/>
        </w:rPr>
        <w:t xml:space="preserve">2. Rapport d'Audit</w:t>
      </w:r>
    </w:p>
    <w:p>
      <w:pPr>
        <w:keepNext w:val="false"/>
        <w:spacing w:after="120"/>
        <w:jc w:val="both"/>
      </w:pPr>
      <w:r>
        <w:rPr>
          <w:rFonts w:ascii="Arial" w:cs="Arial" w:eastAsia="Arial" w:hAnsi="Arial"/>
          <w:b w:val="false"/>
          <w:bCs w:val="false"/>
          <w:i w:val="false"/>
          <w:iCs w:val="false"/>
          <w:color w:val="000000"/>
          <w:sz w:val="20"/>
          <w:szCs w:val="20"/>
        </w:rPr>
        <w:t xml:space="preserve">À l'issue de la mission, LVO-INGENIERIE remettra un rapport écrit détaillé présentant les résultats de l'étude et les conclusions de la mission.</w:t>
      </w:r>
    </w:p>
    <w:p>
      <w:pPr>
        <w:keepNext w:val="false"/>
        <w:spacing w:after="120"/>
        <w:jc w:val="both"/>
      </w:pPr>
      <w:r>
        <w:rPr>
          <w:rFonts w:ascii="Arial" w:cs="Arial" w:eastAsia="Arial" w:hAnsi="Arial"/>
          <w:b w:val="false"/>
          <w:bCs w:val="false"/>
          <w:i w:val="false"/>
          <w:iCs w:val="false"/>
          <w:color w:val="000000"/>
          <w:sz w:val="20"/>
          <w:szCs w:val="20"/>
        </w:rPr>
        <w:t xml:space="preserve">Le rapport comprendra notamment :</w:t>
      </w:r>
    </w:p>
    <w:p>
      <w:pPr>
        <w:spacing w:after="60"/>
        <w:ind w:left="720"/>
      </w:pPr>
      <w:r>
        <w:rPr>
          <w:rFonts w:ascii="Arial" w:cs="Arial" w:eastAsia="Arial" w:hAnsi="Arial"/>
          <w:sz w:val="19"/>
          <w:szCs w:val="19"/>
        </w:rPr>
        <w:t xml:space="preserve">- a. Description des équipements ;</w:t>
      </w:r>
    </w:p>
    <w:p>
      <w:pPr>
        <w:spacing w:after="60"/>
        <w:ind w:left="720"/>
      </w:pPr>
      <w:r>
        <w:rPr>
          <w:rFonts w:ascii="Arial" w:cs="Arial" w:eastAsia="Arial" w:hAnsi="Arial"/>
          <w:sz w:val="19"/>
          <w:szCs w:val="19"/>
        </w:rPr>
        <w:t xml:space="preserve">- b. Analyse de l'existant et des améliorations envisageables ;</w:t>
      </w:r>
    </w:p>
    <w:p>
      <w:pPr>
        <w:spacing w:after="60"/>
        <w:ind w:left="720"/>
      </w:pPr>
      <w:r>
        <w:rPr>
          <w:rFonts w:ascii="Arial" w:cs="Arial" w:eastAsia="Arial" w:hAnsi="Arial"/>
          <w:sz w:val="19"/>
          <w:szCs w:val="19"/>
        </w:rPr>
        <w:t xml:space="preserve">- c. Évaluation de la maintenance réalisée ;</w:t>
      </w:r>
    </w:p>
    <w:p>
      <w:pPr>
        <w:spacing w:after="60"/>
        <w:ind w:left="720"/>
      </w:pPr>
      <w:r>
        <w:rPr>
          <w:rFonts w:ascii="Arial" w:cs="Arial" w:eastAsia="Arial" w:hAnsi="Arial"/>
          <w:sz w:val="19"/>
          <w:szCs w:val="19"/>
        </w:rPr>
        <w:t xml:space="preserve">- d. Analyse de conformité réglementaire ;</w:t>
      </w:r>
    </w:p>
    <w:p>
      <w:pPr>
        <w:spacing w:after="60"/>
        <w:ind w:left="720"/>
      </w:pPr>
      <w:r>
        <w:rPr>
          <w:rFonts w:ascii="Arial" w:cs="Arial" w:eastAsia="Arial" w:hAnsi="Arial"/>
          <w:sz w:val="19"/>
          <w:szCs w:val="19"/>
        </w:rPr>
        <w:t xml:space="preserve">- e. Recommandations de modernisation, incluant les options techniques, les délais de réalisation et les estimations budgétaires.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DÉLAIS DE REMISE DU RAPPORT</w:t>
            </w:r>
          </w:p>
          <w:p>
            <w:r>
              <w:rPr>
                <w:rFonts w:ascii="Arial" w:cs="Arial" w:eastAsia="Arial" w:hAnsi="Arial"/>
                <w:b w:val="false"/>
                <w:bCs w:val="false"/>
                <w:color w:val="333333"/>
                <w:sz w:val="20"/>
                <w:szCs w:val="20"/>
              </w:rPr>
              <w:t xml:space="preserve">Le rapport final sera transmis au client dans un délai de trois (3) semaines à compter de la date de réalisation de la visite sur site et de la collecte des données.</w:t>
            </w:r>
          </w:p>
        </w:tc>
      </w:tr>
    </w:tbl>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5"/>
        <w:gridCol w:w="3871"/>
      </w:tblGrid>
      <w:tr>
        <w:tc>
          <w:tcPr>
            <w:tcW w:type="dxa" w:w="51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38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51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AUDIT TECHNIQUE ASCENSEUR</w:t>
            </w:r>
          </w:p>
        </w:tc>
        <w:tc>
          <w:tcPr>
            <w:tcW w:type="dxa" w:w="38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750,00 € HT / Ascenseur</w:t>
            </w:r>
          </w:p>
        </w:tc>
      </w:tr>
      <w:tr>
        <w:tc>
          <w:tcPr>
            <w:tcW w:type="dxa" w:w="51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38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2 250,00 €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85"/>
        <w:gridCol w:w="1739"/>
        <w:gridCol w:w="3602"/>
      </w:tblGrid>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739"/>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60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AUDIT TECHNIQUE ASCENSEUR</w:t>
            </w:r>
          </w:p>
        </w:tc>
        <w:tc>
          <w:tcPr>
            <w:tcW w:type="dxa" w:w="1739"/>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2 250,00 €</w:t>
            </w:r>
          </w:p>
        </w:tc>
        <w:tc>
          <w:tcPr>
            <w:tcW w:type="dxa" w:w="360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l'envoi du rapport</w:t>
            </w:r>
          </w:p>
        </w:tc>
      </w:tr>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739"/>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2 250,00 €</w:t>
            </w:r>
          </w:p>
        </w:tc>
        <w:tc>
          <w:tcPr>
            <w:tcW w:type="dxa" w:w="3602"/>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6"/>
        <w:gridCol w:w="6210"/>
      </w:tblGrid>
      <w:tr>
        <w:tc>
          <w:tcPr>
            <w:tcW w:type="dxa" w:w="281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2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Relevé sur site</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Suivant demande du maître d'ouvrage et charge de travail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Transmission du rapport</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3 semaines maximum après relevé sur site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LVO-audit-26101 — Offre de Service — Résidence Les Flamboyants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2026-09-25T13:23:58.926Z</dcterms:created>
  <dcterms:modified xsi:type="dcterms:W3CDTF">2026-09-25T13:23:58.926Z</dcterms:modified>
</cp:coreProperties>
</file>

<file path=docProps/custom.xml><?xml version="1.0" encoding="utf-8"?>
<Properties xmlns="http://schemas.openxmlformats.org/officeDocument/2006/custom-properties" xmlns:vt="http://schemas.openxmlformats.org/officeDocument/2006/docPropsVTypes"/>
</file>