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2B4C" w:val="clear"/>
      </w:pPr>
      <w:r>
        <w:rPr>
          <w:rFonts w:ascii="Arial" w:cs="Arial" w:eastAsia="Arial" w:hAnsi="Arial"/>
          <w:sz w:val="4"/>
          <w:szCs w:val="4"/>
        </w:rPr>
        <w:t xml:space="preserve"> </w:t>
      </w:r>
    </w:p>
    <w:p>
      <w:pPr>
        <w:keepNext w:val="false"/>
        <w:jc w:val="center"/>
      </w:pPr>
      <w:r>
        <w:drawing>
          <wp:inline distT="0" distB="0" distL="0" distR="0">
            <wp:extent cx="2095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0" cy="952500"/>
                    </a:xfrm>
                    <a:prstGeom prst="rect">
                      <a:avLst/>
                    </a:prstGeom>
                  </pic:spPr>
                </pic:pic>
              </a:graphicData>
            </a:graphic>
          </wp:inline>
        </w:drawing>
      </w:r>
    </w:p>
    <w:p/>
    <w:p>
      <w:pPr>
        <w:keepNext w:val="false"/>
        <w:spacing w:after="120"/>
        <w:jc w:val="center"/>
      </w:pPr>
      <w:r>
        <w:rPr>
          <w:rFonts w:ascii="Arial" w:cs="Arial" w:eastAsia="Arial" w:hAnsi="Arial"/>
          <w:b w:val="false"/>
          <w:bCs w:val="false"/>
          <w:i w:val="false"/>
          <w:iCs w:val="false"/>
          <w:color w:val="8E9DAE"/>
          <w:sz w:val="22"/>
          <w:szCs w:val="22"/>
        </w:rPr>
        <w:t xml:space="preserve">Experts spécialisés en Études et Conseils Ascenseurs</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F6B00" w:sz="6"/>
              <w:left w:val="single" w:color="FF6B00" w:sz="6"/>
              <w:bottom w:val="single" w:color="FF6B00" w:sz="6"/>
              <w:right w:val="single" w:color="FF6B00" w:sz="6"/>
            </w:tcBorders>
            <w:shd w:fill="FF6B00" w:val="clear"/>
            <w:tcMar>
              <w:top w:type="dxa" w:w="160"/>
              <w:left w:type="dxa" w:w="300"/>
              <w:bottom w:type="dxa" w:w="160"/>
              <w:right w:type="dxa" w:w="300"/>
            </w:tcMar>
          </w:tcPr>
          <w:p>
            <w:pPr>
              <w:jc w:val="center"/>
            </w:pPr>
            <w:r>
              <w:rPr>
                <w:rFonts w:ascii="Arial" w:cs="Arial" w:eastAsia="Arial" w:hAnsi="Arial"/>
                <w:b/>
                <w:bCs/>
                <w:color w:val="FFFFFF"/>
                <w:sz w:val="36"/>
                <w:szCs w:val="36"/>
              </w:rPr>
              <w:t xml:space="preserve">OFFRE DE SERVICE</w:t>
            </w:r>
            <w:r>
              <w:br/>
              <w:t xml:space="preserve"/>
            </w:r>
            <w:r>
              <w:rPr>
                <w:rFonts w:ascii="Arial" w:cs="Arial" w:eastAsia="Arial" w:hAnsi="Arial"/>
                <w:b w:val="false"/>
                <w:bCs w:val="false"/>
                <w:color w:val="FFFFFF"/>
                <w:sz w:val="22"/>
                <w:szCs w:val="22"/>
              </w:rPr>
              <w:t xml:space="preserve">Mission Bureau d'Études Ascenseurs</w:t>
            </w:r>
            <w:r>
              <w:br/>
              <w:t xml:space="preserve"/>
            </w:r>
            <w:r>
              <w:rPr>
                <w:rFonts w:ascii="Arial" w:cs="Arial" w:eastAsia="Arial" w:hAnsi="Arial"/>
                <w:b/>
                <w:bCs/>
                <w:color w:val="FFFFFF"/>
                <w:sz w:val="22"/>
                <w:szCs w:val="22"/>
              </w:rPr>
              <w:t xml:space="preserve">Contrôle Technique Quinquennal 1 ascenseur</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2B4C" w:sz="6"/>
              <w:left w:val="single" w:color="1A2B4C" w:sz="6"/>
              <w:bottom w:val="single" w:color="1A2B4C" w:sz="6"/>
              <w:right w:val="single" w:color="1A2B4C" w:sz="6"/>
            </w:tcBorders>
            <w:shd w:fill="E8EDF4" w:val="clear"/>
            <w:tcMar>
              <w:top w:type="dxa" w:w="220"/>
              <w:left w:type="dxa" w:w="300"/>
              <w:bottom w:type="dxa" w:w="220"/>
              <w:right w:type="dxa" w:w="300"/>
            </w:tcMar>
          </w:tcPr>
          <w:p>
            <w:pPr>
              <w:jc w:val="center"/>
            </w:pPr>
            <w:r>
              <w:rPr>
                <w:rFonts w:ascii="Arial" w:cs="Arial" w:eastAsia="Arial" w:hAnsi="Arial"/>
                <w:b/>
                <w:bCs/>
                <w:color w:val="8E9DAE"/>
                <w:sz w:val="18"/>
                <w:szCs w:val="18"/>
              </w:rPr>
              <w:t xml:space="preserve">SITE</w:t>
            </w:r>
            <w:r>
              <w:br/>
              <w:t xml:space="preserve"/>
            </w:r>
            <w:r>
              <w:rPr>
                <w:rFonts w:ascii="Arial" w:cs="Arial" w:eastAsia="Arial" w:hAnsi="Arial"/>
                <w:b/>
                <w:bCs/>
                <w:color w:val="1A2B4C"/>
                <w:sz w:val="32"/>
                <w:szCs w:val="32"/>
              </w:rPr>
              <w:t xml:space="preserve">Immeuble Le Barachois</w:t>
            </w:r>
            <w:r>
              <w:br/>
              <w:t xml:space="preserve"/>
            </w:r>
            <w:r>
              <w:rPr>
                <w:rFonts w:ascii="Arial" w:cs="Arial" w:eastAsia="Arial" w:hAnsi="Arial"/>
                <w:b w:val="false"/>
                <w:bCs w:val="false"/>
                <w:color w:val="8E9DAE"/>
                <w:sz w:val="22"/>
                <w:szCs w:val="22"/>
              </w:rPr>
              <w:t xml:space="preserve">4 boulevard Gabriel Macé, 97400 Saint-Denis</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F6B00" w:sz="12"/>
              <w:left w:val="single" w:color="FF6B00" w:sz="4"/>
              <w:bottom w:val="single" w:color="FF6B00" w:sz="12"/>
              <w:right w:val="single" w:color="FF6B00" w:sz="4"/>
            </w:tcBorders>
            <w:shd w:fill="FFF3E8" w:val="clear"/>
            <w:tcMar>
              <w:top w:type="dxa" w:w="180"/>
              <w:left w:type="dxa" w:w="280"/>
              <w:bottom w:type="dxa" w:w="180"/>
              <w:right w:type="dxa" w:w="280"/>
            </w:tcMar>
          </w:tcPr>
          <w:p>
            <w:r>
              <w:rPr>
                <w:rFonts w:ascii="Arial" w:cs="Arial" w:eastAsia="Arial" w:hAnsi="Arial"/>
                <w:b w:val="false"/>
                <w:bCs w:val="false"/>
                <w:color w:val="333333"/>
                <w:sz w:val="20"/>
                <w:szCs w:val="20"/>
              </w:rPr>
              <w:t xml:space="preserve">[Photo du site — À COMPLÉTER]</w:t>
            </w:r>
          </w:p>
        </w:tc>
      </w:tr>
    </w:tbl>
    <w:p/>
    <w:tbl>
      <w:tblPr>
        <w:tblW w:type="dxa" w:w="9338"/>
        <w:tblBorders>
          <w:top w:val="single" w:color="auto" w:sz="4"/>
          <w:left w:val="single" w:color="auto" w:sz="4"/>
          <w:bottom w:val="single" w:color="auto" w:sz="4"/>
          <w:right w:val="single" w:color="auto" w:sz="4"/>
          <w:insideH w:val="single" w:color="auto" w:sz="4"/>
          <w:insideV w:val="single" w:color="auto" w:sz="4"/>
        </w:tblBorders>
      </w:tblPr>
      <w:tblGrid>
        <w:gridCol w:w="2551"/>
        <w:gridCol w:w="6787"/>
      </w:tblGrid>
      <w:tr>
        <w:tc>
          <w:tcPr>
            <w:tcW w:type="dxa" w:w="2551"/>
            <w:tcBorders>
              <w:top w:val="single" w:color="8E9DAE" w:sz="1"/>
              <w:left w:val="single" w:color="8E9DAE" w:sz="1"/>
              <w:bottom w:val="single" w:color="8E9DAE" w:sz="1"/>
              <w:right w:val="single" w:color="8E9DAE" w:sz="1"/>
            </w:tcBorders>
            <w:shd w:fill="EEF2F7" w:val="clear"/>
            <w:tcMar>
              <w:top w:type="dxa" w:w="100"/>
              <w:left w:type="dxa" w:w="150"/>
              <w:bottom w:type="dxa" w:w="100"/>
              <w:right w:type="dxa" w:w="150"/>
            </w:tcMar>
            <w:vAlign w:val="center"/>
          </w:tcPr>
          <w:p>
            <w:r>
              <w:rPr>
                <w:rFonts w:ascii="Arial" w:cs="Arial" w:eastAsia="Arial" w:hAnsi="Arial"/>
                <w:b/>
                <w:bCs/>
                <w:color w:val="1A2B4C"/>
                <w:sz w:val="19"/>
                <w:szCs w:val="19"/>
              </w:rPr>
              <w:t xml:space="preserve">POUR</w:t>
            </w:r>
          </w:p>
        </w:tc>
        <w:tc>
          <w:tcPr>
            <w:tcW w:type="dxa" w:w="6787"/>
            <w:tcBorders>
              <w:top w:val="single" w:color="8E9DAE" w:sz="1"/>
              <w:left w:val="single" w:color="8E9DAE" w:sz="1"/>
              <w:bottom w:val="single" w:color="8E9DAE" w:sz="1"/>
              <w:right w:val="single" w:color="8E9DAE" w:sz="1"/>
            </w:tcBorders>
            <w:shd w:fill="FAFBFC"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SIDR</w:t>
            </w:r>
            <w:r>
              <w:br/>
              <w:t xml:space="preserve"/>
            </w:r>
            <w:r>
              <w:rPr>
                <w:rFonts w:ascii="Arial" w:cs="Arial" w:eastAsia="Arial" w:hAnsi="Arial"/>
                <w:b w:val="false"/>
                <w:bCs w:val="false"/>
                <w:color w:val="333333"/>
                <w:sz w:val="19"/>
                <w:szCs w:val="19"/>
              </w:rPr>
              <w:t xml:space="preserve">Direction de la Maintenance</w:t>
            </w:r>
          </w:p>
        </w:tc>
      </w:tr>
      <w:tr>
        <w:tc>
          <w:tcPr>
            <w:tcW w:type="dxa" w:w="2551"/>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GESTIONNAIRE</w:t>
            </w:r>
          </w:p>
        </w:tc>
        <w:tc>
          <w:tcPr>
            <w:tcW w:type="dxa" w:w="6787"/>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GERER IMMOBILIER</w:t>
            </w:r>
          </w:p>
        </w:tc>
      </w:tr>
      <w:tr>
        <w:tc>
          <w:tcPr>
            <w:tcW w:type="dxa" w:w="2551"/>
            <w:tcBorders>
              <w:top w:val="single" w:color="8E9DAE" w:sz="1"/>
              <w:left w:val="single" w:color="8E9DAE" w:sz="1"/>
              <w:bottom w:val="single" w:color="8E9DAE" w:sz="1"/>
              <w:right w:val="single" w:color="8E9DAE" w:sz="1"/>
            </w:tcBorders>
            <w:shd w:fill="EEF2F7" w:val="clear"/>
            <w:tcMar>
              <w:top w:type="dxa" w:w="100"/>
              <w:left w:type="dxa" w:w="150"/>
              <w:bottom w:type="dxa" w:w="100"/>
              <w:right w:type="dxa" w:w="150"/>
            </w:tcMar>
            <w:vAlign w:val="center"/>
          </w:tcPr>
          <w:p>
            <w:r>
              <w:rPr>
                <w:rFonts w:ascii="Arial" w:cs="Arial" w:eastAsia="Arial" w:hAnsi="Arial"/>
                <w:b/>
                <w:bCs/>
                <w:color w:val="1A2B4C"/>
                <w:sz w:val="19"/>
                <w:szCs w:val="19"/>
              </w:rPr>
              <w:t xml:space="preserve">REPRÉSENTÉ PAR</w:t>
            </w:r>
          </w:p>
        </w:tc>
        <w:tc>
          <w:tcPr>
            <w:tcW w:type="dxa" w:w="6787"/>
            <w:tcBorders>
              <w:top w:val="single" w:color="8E9DAE" w:sz="1"/>
              <w:left w:val="single" w:color="8E9DAE" w:sz="1"/>
              <w:bottom w:val="single" w:color="8E9DAE" w:sz="1"/>
              <w:right w:val="single" w:color="8E9DAE" w:sz="1"/>
            </w:tcBorders>
            <w:shd w:fill="FAFBFC"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Mme Sophie GRONDIN (Chargée d'opérations)</w:t>
            </w:r>
          </w:p>
        </w:tc>
      </w:tr>
      <w:tr>
        <w:tc>
          <w:tcPr>
            <w:tcW w:type="dxa" w:w="2551"/>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DOSSIER ÉTABLI PAR</w:t>
            </w:r>
          </w:p>
        </w:tc>
        <w:tc>
          <w:tcPr>
            <w:tcW w:type="dxa" w:w="6787"/>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Hatem LEMBARKI</w:t>
            </w:r>
          </w:p>
        </w:tc>
      </w:tr>
      <w:tr>
        <w:tc>
          <w:tcPr>
            <w:tcW w:type="dxa" w:w="2551"/>
            <w:tcBorders>
              <w:top w:val="single" w:color="8E9DAE" w:sz="1"/>
              <w:left w:val="single" w:color="8E9DAE" w:sz="1"/>
              <w:bottom w:val="single" w:color="8E9DAE" w:sz="1"/>
              <w:right w:val="single" w:color="8E9DAE" w:sz="1"/>
            </w:tcBorders>
            <w:shd w:fill="EEF2F7" w:val="clear"/>
            <w:tcMar>
              <w:top w:type="dxa" w:w="100"/>
              <w:left w:type="dxa" w:w="150"/>
              <w:bottom w:type="dxa" w:w="100"/>
              <w:right w:type="dxa" w:w="150"/>
            </w:tcMar>
            <w:vAlign w:val="center"/>
          </w:tcPr>
          <w:p>
            <w:r>
              <w:rPr>
                <w:rFonts w:ascii="Arial" w:cs="Arial" w:eastAsia="Arial" w:hAnsi="Arial"/>
                <w:b/>
                <w:bCs/>
                <w:color w:val="1A2B4C"/>
                <w:sz w:val="19"/>
                <w:szCs w:val="19"/>
              </w:rPr>
              <w:t xml:space="preserve">DATE</w:t>
            </w:r>
          </w:p>
        </w:tc>
        <w:tc>
          <w:tcPr>
            <w:tcW w:type="dxa" w:w="6787"/>
            <w:tcBorders>
              <w:top w:val="single" w:color="8E9DAE" w:sz="1"/>
              <w:left w:val="single" w:color="8E9DAE" w:sz="1"/>
              <w:bottom w:val="single" w:color="8E9DAE" w:sz="1"/>
              <w:right w:val="single" w:color="8E9DAE" w:sz="1"/>
            </w:tcBorders>
            <w:shd w:fill="FAFBFC"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21 septembre 2026</w:t>
            </w:r>
          </w:p>
        </w:tc>
      </w:tr>
      <w:tr>
        <w:tc>
          <w:tcPr>
            <w:tcW w:type="dxa" w:w="2551"/>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RÉFÉRENCE</w:t>
            </w:r>
          </w:p>
        </w:tc>
        <w:tc>
          <w:tcPr>
            <w:tcW w:type="dxa" w:w="6787"/>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LVO-CTQ-26102</w:t>
            </w:r>
          </w:p>
        </w:tc>
      </w:tr>
    </w:tbl>
    <w:p>
      <w:pPr>
        <w:sectPr>
          <w:pgSz w:w="11906" w:h="16838" w:orient="portrait"/>
          <w:pgMar w:top="1440" w:right="1440" w:bottom="993" w:left="1440" w:header="708" w:footer="708" w:gutter="0"/>
          <w:pgNumType/>
          <w:docGrid w:linePitch="360"/>
        </w:sectPr>
      </w:pPr>
    </w:p>
    <w:p>
      <w:pPr>
        <w:keepNext w:val="false"/>
        <w:spacing w:after="120"/>
        <w:jc w:val="both"/>
      </w:pPr>
      <w:r>
        <w:rPr>
          <w:rFonts w:ascii="Arial" w:cs="Arial" w:eastAsia="Arial" w:hAnsi="Arial"/>
          <w:b w:val="false"/>
          <w:bCs w:val="false"/>
          <w:i w:val="false"/>
          <w:iCs w:val="false"/>
          <w:color w:val="000000"/>
          <w:sz w:val="20"/>
          <w:szCs w:val="20"/>
        </w:rPr>
        <w:t xml:space="preserve">Saint-Denis, le 21 septembre 2026</w:t>
      </w:r>
    </w:p>
    <w:p/>
    <w:p>
      <w:pPr>
        <w:keepNext w:val="false"/>
        <w:spacing w:after="120"/>
        <w:jc w:val="both"/>
      </w:pPr>
      <w:r>
        <w:rPr>
          <w:rFonts w:ascii="Arial" w:cs="Arial" w:eastAsia="Arial" w:hAnsi="Arial"/>
          <w:b/>
          <w:bCs/>
          <w:i w:val="false"/>
          <w:iCs w:val="false"/>
          <w:color w:val="000000"/>
          <w:sz w:val="20"/>
          <w:szCs w:val="20"/>
        </w:rPr>
        <w:t xml:space="preserve">SIDR</w:t>
      </w:r>
    </w:p>
    <w:p>
      <w:pPr>
        <w:keepNext w:val="false"/>
        <w:spacing w:after="120"/>
        <w:jc w:val="both"/>
      </w:pPr>
      <w:r>
        <w:rPr>
          <w:rFonts w:ascii="Arial" w:cs="Arial" w:eastAsia="Arial" w:hAnsi="Arial"/>
          <w:b w:val="false"/>
          <w:bCs w:val="false"/>
          <w:i w:val="false"/>
          <w:iCs w:val="false"/>
          <w:color w:val="000000"/>
          <w:sz w:val="20"/>
          <w:szCs w:val="20"/>
        </w:rPr>
        <w:t xml:space="preserve">Direction de la Maintenance</w:t>
      </w:r>
    </w:p>
    <w:p>
      <w:pPr>
        <w:keepNext w:val="false"/>
        <w:spacing w:after="120"/>
        <w:jc w:val="both"/>
      </w:pPr>
      <w:r>
        <w:rPr>
          <w:rFonts w:ascii="Arial" w:cs="Arial" w:eastAsia="Arial" w:hAnsi="Arial"/>
          <w:b w:val="false"/>
          <w:bCs w:val="false"/>
          <w:i w:val="false"/>
          <w:iCs w:val="false"/>
          <w:color w:val="000000"/>
          <w:sz w:val="20"/>
          <w:szCs w:val="20"/>
        </w:rPr>
        <w:t xml:space="preserve">C/O GERER IMMOBILIER</w:t>
      </w:r>
    </w:p>
    <w:p/>
    <w:p>
      <w:pPr>
        <w:keepNext w:val="false"/>
        <w:spacing w:after="120"/>
        <w:jc w:val="both"/>
      </w:pPr>
      <w:r>
        <w:rPr>
          <w:rFonts w:ascii="Arial" w:cs="Arial" w:eastAsia="Arial" w:hAnsi="Arial"/>
          <w:b w:val="false"/>
          <w:bCs w:val="false"/>
          <w:i w:val="false"/>
          <w:iCs w:val="false"/>
          <w:color w:val="333333"/>
          <w:sz w:val="20"/>
          <w:szCs w:val="20"/>
        </w:rPr>
        <w:t xml:space="preserve">À l'attention de Mme Sophie GRONDIN (Chargée d'opérations)</w:t>
      </w:r>
    </w:p>
    <w:p/>
    <w:p>
      <w:pPr>
        <w:keepNext w:val="false"/>
        <w:spacing w:after="120"/>
        <w:jc w:val="both"/>
      </w:pPr>
      <w:r>
        <w:rPr>
          <w:rFonts w:ascii="Arial" w:cs="Arial" w:eastAsia="Arial" w:hAnsi="Arial"/>
          <w:b/>
          <w:bCs/>
          <w:i w:val="false"/>
          <w:iCs w:val="false"/>
          <w:color w:val="000000"/>
          <w:sz w:val="20"/>
          <w:szCs w:val="20"/>
        </w:rPr>
        <w:t xml:space="preserve">Réf : LVO-CTQ-26102</w:t>
      </w:r>
    </w:p>
    <w:p>
      <w:pPr>
        <w:keepNext w:val="false"/>
        <w:spacing w:after="120"/>
        <w:jc w:val="both"/>
      </w:pPr>
      <w:r>
        <w:rPr>
          <w:rFonts w:ascii="Arial" w:cs="Arial" w:eastAsia="Arial" w:hAnsi="Arial"/>
          <w:b/>
          <w:bCs/>
          <w:i w:val="false"/>
          <w:iCs w:val="false"/>
          <w:color w:val="000000"/>
          <w:sz w:val="20"/>
          <w:szCs w:val="20"/>
        </w:rPr>
        <w:t xml:space="preserve">Objet : Immeuble Le Barachois - 4 boulevard Gabriel Macé, 97400 Saint-Denis</w:t>
      </w:r>
    </w:p>
    <w:p/>
    <w:p>
      <w:pPr>
        <w:keepNext w:val="false"/>
        <w:spacing w:after="120"/>
        <w:jc w:val="both"/>
      </w:pPr>
      <w:r>
        <w:rPr>
          <w:rFonts w:ascii="Arial" w:cs="Arial" w:eastAsia="Arial" w:hAnsi="Arial"/>
          <w:b/>
          <w:bCs/>
          <w:i w:val="false"/>
          <w:iCs w:val="false"/>
          <w:color w:val="000000"/>
          <w:sz w:val="20"/>
          <w:szCs w:val="20"/>
        </w:rPr>
        <w:t xml:space="preserve">Mission : Contrôle Technique Quinquennal 1 ascenseur</w:t>
      </w:r>
    </w:p>
    <w:p/>
    <w:p>
      <w:pPr>
        <w:keepNext w:val="false"/>
        <w:spacing w:after="120"/>
        <w:jc w:val="both"/>
      </w:pPr>
      <w:r>
        <w:rPr>
          <w:rFonts w:ascii="Arial" w:cs="Arial" w:eastAsia="Arial" w:hAnsi="Arial"/>
          <w:b w:val="false"/>
          <w:bCs w:val="false"/>
          <w:i w:val="false"/>
          <w:iCs w:val="false"/>
          <w:color w:val="000000"/>
          <w:sz w:val="20"/>
          <w:szCs w:val="20"/>
        </w:rPr>
        <w:t xml:space="preserve">Madame,</w:t>
      </w:r>
    </w:p>
    <w:p/>
    <w:p>
      <w:pPr>
        <w:keepNext w:val="false"/>
        <w:spacing w:after="120"/>
        <w:jc w:val="both"/>
      </w:pPr>
      <w:r>
        <w:rPr>
          <w:rFonts w:ascii="Arial" w:cs="Arial" w:eastAsia="Arial" w:hAnsi="Arial"/>
          <w:b w:val="false"/>
          <w:bCs w:val="false"/>
          <w:i w:val="false"/>
          <w:iCs w:val="false"/>
          <w:color w:val="000000"/>
          <w:sz w:val="20"/>
          <w:szCs w:val="20"/>
        </w:rPr>
        <w:t xml:space="preserve">Nous avons le plaisir de vous communiquer, ci-joint, notre meilleure proposition d'honoraires pour vous conseiller et vous assister en tant que BET Transports mécaniques dans le cadre de ce projet.</w:t>
      </w:r>
    </w:p>
    <w:p/>
    <w:p>
      <w:pPr>
        <w:keepNext w:val="false"/>
        <w:spacing w:after="120"/>
        <w:jc w:val="both"/>
      </w:pPr>
      <w:r>
        <w:rPr>
          <w:rFonts w:ascii="Arial" w:cs="Arial" w:eastAsia="Arial" w:hAnsi="Arial"/>
          <w:b w:val="false"/>
          <w:bCs w:val="false"/>
          <w:i w:val="false"/>
          <w:iCs w:val="false"/>
          <w:color w:val="000000"/>
          <w:sz w:val="20"/>
          <w:szCs w:val="20"/>
        </w:rPr>
        <w:t xml:space="preserve">LVO-INGENIERIE offre à ses clients une expertise de conseil spécialisée dans le domaine du transport vertical des biens et des personnes. Nos consultants expérimentés sont spécialisés dans les disciplines suivantes :</w:t>
      </w:r>
    </w:p>
    <w:p/>
    <w:p>
      <w:pPr>
        <w:spacing w:after="60"/>
        <w:ind w:left="360"/>
      </w:pPr>
      <w:r>
        <w:rPr>
          <w:rFonts w:ascii="Arial" w:cs="Arial" w:eastAsia="Arial" w:hAnsi="Arial"/>
          <w:sz w:val="20"/>
          <w:szCs w:val="20"/>
        </w:rPr>
        <w:t xml:space="preserve">• Transport vertical</w:t>
      </w:r>
    </w:p>
    <w:p>
      <w:pPr>
        <w:spacing w:after="60"/>
        <w:ind w:left="360"/>
      </w:pPr>
      <w:r>
        <w:rPr>
          <w:rFonts w:ascii="Arial" w:cs="Arial" w:eastAsia="Arial" w:hAnsi="Arial"/>
          <w:sz w:val="20"/>
          <w:szCs w:val="20"/>
        </w:rPr>
        <w:t xml:space="preserve">• Transport horizontal</w:t>
      </w:r>
    </w:p>
    <w:p>
      <w:pPr>
        <w:spacing w:after="60"/>
        <w:ind w:left="360"/>
      </w:pPr>
      <w:r>
        <w:rPr>
          <w:rFonts w:ascii="Arial" w:cs="Arial" w:eastAsia="Arial" w:hAnsi="Arial"/>
          <w:sz w:val="20"/>
          <w:szCs w:val="20"/>
        </w:rPr>
        <w:t xml:space="preserve">• Analyses de trafic</w:t>
      </w:r>
    </w:p>
    <w:p>
      <w:pPr>
        <w:spacing w:after="60"/>
        <w:ind w:left="360"/>
      </w:pPr>
      <w:r>
        <w:rPr>
          <w:rFonts w:ascii="Arial" w:cs="Arial" w:eastAsia="Arial" w:hAnsi="Arial"/>
          <w:sz w:val="20"/>
          <w:szCs w:val="20"/>
        </w:rPr>
        <w:t xml:space="preserve">• Gestion de projets Neufs et Modernisations</w:t>
      </w:r>
    </w:p>
    <w:p>
      <w:pPr>
        <w:spacing w:after="60"/>
        <w:ind w:left="360"/>
      </w:pPr>
      <w:r>
        <w:rPr>
          <w:rFonts w:ascii="Arial" w:cs="Arial" w:eastAsia="Arial" w:hAnsi="Arial"/>
          <w:sz w:val="20"/>
          <w:szCs w:val="20"/>
        </w:rPr>
        <w:t xml:space="preserve">• Maintenance Management</w:t>
      </w:r>
    </w:p>
    <w:p/>
    <w:p>
      <w:pPr>
        <w:keepNext w:val="false"/>
        <w:spacing w:after="120"/>
        <w:jc w:val="both"/>
      </w:pPr>
      <w:r>
        <w:rPr>
          <w:rFonts w:ascii="Arial" w:cs="Arial" w:eastAsia="Arial" w:hAnsi="Arial"/>
          <w:b w:val="false"/>
          <w:bCs w:val="false"/>
          <w:i w:val="false"/>
          <w:iCs w:val="false"/>
          <w:color w:val="000000"/>
          <w:sz w:val="20"/>
          <w:szCs w:val="20"/>
        </w:rPr>
        <w:t xml:space="preserve">L'ensemble des services proposés faisant partie de notre offre sont précisés dans le « Descriptif des services de consultation ». Notre document de synthèse intitulé « Informations aux Clients et Conditions Générales de Ventes » est également joint.</w:t>
      </w:r>
    </w:p>
    <w:p/>
    <w:p>
      <w:pPr>
        <w:keepNext w:val="false"/>
        <w:spacing w:after="120"/>
        <w:jc w:val="both"/>
      </w:pPr>
      <w:r>
        <w:rPr>
          <w:rFonts w:ascii="Arial" w:cs="Arial" w:eastAsia="Arial" w:hAnsi="Arial"/>
          <w:b w:val="false"/>
          <w:bCs w:val="false"/>
          <w:i w:val="false"/>
          <w:iCs w:val="false"/>
          <w:color w:val="000000"/>
          <w:sz w:val="20"/>
          <w:szCs w:val="20"/>
        </w:rPr>
        <w:t xml:space="preserve">Nous espérons avoir correctement interprété vos instructions et nous nous réjouissons de cette opportunité de mettre notre expertise à votre service.</w:t>
      </w:r>
    </w:p>
    <w:p/>
    <w:p>
      <w:pPr>
        <w:keepNext w:val="false"/>
        <w:spacing w:after="120"/>
        <w:jc w:val="both"/>
      </w:pPr>
      <w:r>
        <w:rPr>
          <w:rFonts w:ascii="Arial" w:cs="Arial" w:eastAsia="Arial" w:hAnsi="Arial"/>
          <w:b w:val="false"/>
          <w:bCs w:val="false"/>
          <w:i w:val="false"/>
          <w:iCs w:val="false"/>
          <w:color w:val="000000"/>
          <w:sz w:val="20"/>
          <w:szCs w:val="20"/>
        </w:rPr>
        <w:t xml:space="preserve">Afin de formaliser notre accord, nous vous demanderons de bien vouloir nous retourner un exemplaire de notre ordre de mission signé.</w:t>
      </w:r>
    </w:p>
    <w:p/>
    <w:p>
      <w:pPr>
        <w:keepNext w:val="false"/>
        <w:spacing w:after="120"/>
        <w:jc w:val="both"/>
      </w:pPr>
      <w:r>
        <w:rPr>
          <w:rFonts w:ascii="Arial" w:cs="Arial" w:eastAsia="Arial" w:hAnsi="Arial"/>
          <w:b w:val="false"/>
          <w:bCs w:val="false"/>
          <w:i w:val="false"/>
          <w:iCs w:val="false"/>
          <w:color w:val="000000"/>
          <w:sz w:val="20"/>
          <w:szCs w:val="20"/>
        </w:rPr>
        <w:t xml:space="preserve">N'hésitez pas à nous contacter pour toute information que vous jugerez nécessaire.</w:t>
      </w:r>
    </w:p>
    <w:p/>
    <w:p>
      <w:pPr>
        <w:keepNext w:val="false"/>
        <w:spacing w:after="120"/>
        <w:jc w:val="both"/>
      </w:pPr>
      <w:r>
        <w:rPr>
          <w:rFonts w:ascii="Arial" w:cs="Arial" w:eastAsia="Arial" w:hAnsi="Arial"/>
          <w:b w:val="false"/>
          <w:bCs w:val="false"/>
          <w:i w:val="false"/>
          <w:iCs w:val="false"/>
          <w:color w:val="000000"/>
          <w:sz w:val="20"/>
          <w:szCs w:val="20"/>
        </w:rPr>
        <w:t xml:space="preserve">Veuillez agréer, Madame, l'expression de nos respectueuses salutations.</w:t>
      </w:r>
    </w:p>
    <w:p/>
    <w:p>
      <w:pPr>
        <w:keepNext/>
        <w:spacing w:after="120"/>
        <w:jc w:val="both"/>
      </w:pPr>
      <w:r>
        <w:rPr>
          <w:rFonts w:ascii="Arial" w:cs="Arial" w:eastAsia="Arial" w:hAnsi="Arial"/>
          <w:b/>
          <w:bCs/>
          <w:i w:val="false"/>
          <w:iCs w:val="false"/>
          <w:color w:val="1A2B4C"/>
          <w:sz w:val="20"/>
          <w:szCs w:val="20"/>
        </w:rPr>
        <w:t xml:space="preserve">Hatem LEMBARKI</w:t>
      </w:r>
    </w:p>
    <w:p>
      <w:pPr>
        <w:keepNext/>
        <w:jc w:val="center"/>
      </w:pPr>
      <w:r>
        <w:drawing>
          <wp:inline distT="0" distB="0" distL="0" distR="0">
            <wp:extent cx="16192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619250" cy="1619250"/>
                    </a:xfrm>
                    <a:prstGeom prst="rect">
                      <a:avLst/>
                    </a:prstGeom>
                  </pic:spPr>
                </pic:pic>
              </a:graphicData>
            </a:graphic>
          </wp:inline>
        </w:drawing>
      </w:r>
    </w:p>
    <w:p>
      <w:pPr>
        <w:keepNext w:val="false"/>
        <w:spacing w:after="120"/>
        <w:jc w:val="both"/>
      </w:pPr>
      <w:r>
        <w:rPr>
          <w:rFonts w:ascii="Arial" w:cs="Arial" w:eastAsia="Arial" w:hAnsi="Arial"/>
          <w:b w:val="false"/>
          <w:bCs w:val="false"/>
          <w:i w:val="false"/>
          <w:iCs w:val="false"/>
          <w:color w:val="8E9DAE"/>
          <w:sz w:val="18"/>
          <w:szCs w:val="18"/>
        </w:rPr>
        <w:t xml:space="preserve">Fondateur Gérant</w:t>
      </w:r>
    </w:p>
    <w:p>
      <w:pPr>
        <w:pageBreakBefore/>
      </w:pPr>
    </w:p>
    <w:p>
      <w:pPr>
        <w:pBdr>
          <w:bottom w:val="single" w:color="FF6B00" w:sz="6" w:space="4"/>
        </w:pBdr>
        <w:spacing w:after="200"/>
      </w:pPr>
      <w:r>
        <w:rPr>
          <w:rFonts w:ascii="Arial" w:cs="Arial" w:eastAsia="Arial" w:hAnsi="Arial"/>
          <w:b/>
          <w:bCs/>
          <w:color w:val="1A2B4C"/>
          <w:sz w:val="26"/>
          <w:szCs w:val="26"/>
        </w:rPr>
        <w:t xml:space="preserve">DÉTAILS DE NOTRE OFFRE DE SERVICE</w:t>
      </w:r>
    </w:p>
    <w:p/>
    <w:p>
      <w:pPr>
        <w:keepNext w:val="false"/>
        <w:spacing w:after="120"/>
        <w:jc w:val="both"/>
      </w:pPr>
      <w:r>
        <w:rPr>
          <w:rFonts w:ascii="Arial" w:cs="Arial" w:eastAsia="Arial" w:hAnsi="Arial"/>
          <w:b w:val="false"/>
          <w:bCs w:val="false"/>
          <w:i w:val="false"/>
          <w:iCs w:val="false"/>
          <w:color w:val="000000"/>
          <w:sz w:val="20"/>
          <w:szCs w:val="20"/>
        </w:rPr>
        <w:t xml:space="preserve">LVO-INGENIERIE convient de fournir ses services d'assistance, d'étude et de conseil pour les équipements de transports mécaniques du Immeuble Le Barachois situé 4 boulevard Gabriel Macé, 97400 Saint-Denis, comme indiqué ci-après.</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F6B00" w:sz="12"/>
              <w:left w:val="single" w:color="FF6B00" w:sz="4"/>
              <w:bottom w:val="single" w:color="FF6B00" w:sz="12"/>
              <w:right w:val="single" w:color="FF6B00" w:sz="4"/>
            </w:tcBorders>
            <w:shd w:fill="FFF3E8" w:val="clear"/>
            <w:tcMar>
              <w:top w:type="dxa" w:w="180"/>
              <w:left w:type="dxa" w:w="280"/>
              <w:bottom w:type="dxa" w:w="180"/>
              <w:right w:type="dxa" w:w="280"/>
            </w:tcMar>
          </w:tcPr>
          <w:p>
            <w:r>
              <w:rPr>
                <w:rFonts w:ascii="Arial" w:cs="Arial" w:eastAsia="Arial" w:hAnsi="Arial"/>
                <w:b/>
                <w:bCs/>
                <w:color w:val="FF6B00"/>
                <w:sz w:val="20"/>
                <w:szCs w:val="20"/>
              </w:rPr>
              <w:t xml:space="preserve">Contrôle Technique Quinquennal</w:t>
            </w:r>
          </w:p>
        </w:tc>
      </w:tr>
    </w:tbl>
    <w:p>
      <w:pPr>
        <w:keepNext w:val="false"/>
        <w:spacing w:after="120"/>
        <w:jc w:val="both"/>
      </w:pPr>
      <w:r>
        <w:rPr>
          <w:rFonts w:ascii="Arial" w:cs="Arial" w:eastAsia="Arial" w:hAnsi="Arial"/>
          <w:b/>
          <w:bCs/>
          <w:i w:val="false"/>
          <w:iCs w:val="false"/>
          <w:color w:val="EA4E00"/>
          <w:sz w:val="22"/>
          <w:szCs w:val="22"/>
        </w:rPr>
        <w:t xml:space="preserve">Contenu de la Mission</w:t>
      </w:r>
    </w:p>
    <w:p>
      <w:pPr>
        <w:keepNext w:val="false"/>
        <w:spacing w:after="120"/>
        <w:jc w:val="both"/>
      </w:pPr>
      <w:r>
        <w:rPr>
          <w:rFonts w:ascii="Arial" w:cs="Arial" w:eastAsia="Arial" w:hAnsi="Arial"/>
          <w:b/>
          <w:bCs/>
          <w:i w:val="false"/>
          <w:iCs w:val="false"/>
          <w:color w:val="EA4E00"/>
          <w:sz w:val="22"/>
          <w:szCs w:val="22"/>
        </w:rPr>
        <w:t xml:space="preserve">1. Faire réaliser le Contrôle Technique Quinquennal</w:t>
      </w:r>
    </w:p>
    <w:p>
      <w:pPr>
        <w:keepNext w:val="false"/>
        <w:spacing w:after="120"/>
        <w:jc w:val="both"/>
      </w:pPr>
      <w:r>
        <w:rPr>
          <w:rFonts w:ascii="Arial" w:cs="Arial" w:eastAsia="Arial" w:hAnsi="Arial"/>
          <w:b w:val="false"/>
          <w:bCs w:val="false"/>
          <w:i w:val="false"/>
          <w:iCs w:val="false"/>
          <w:color w:val="000000"/>
          <w:sz w:val="20"/>
          <w:szCs w:val="20"/>
        </w:rPr>
        <w:t xml:space="preserve">Réalisation du Contrôle Technique Quinquennal défini à l'article R. 125-2-4 du Code de la Construction et de l'Habitation et ce, dans le respect des exigences réglementaires lui étant applicables.</w:t>
      </w:r>
    </w:p>
    <w:p>
      <w:pPr>
        <w:keepNext w:val="false"/>
        <w:spacing w:after="120"/>
        <w:jc w:val="both"/>
      </w:pPr>
      <w:r>
        <w:rPr>
          <w:rFonts w:ascii="Arial" w:cs="Arial" w:eastAsia="Arial" w:hAnsi="Arial"/>
          <w:b w:val="false"/>
          <w:bCs w:val="false"/>
          <w:i w:val="false"/>
          <w:iCs w:val="false"/>
          <w:color w:val="000000"/>
          <w:sz w:val="20"/>
          <w:szCs w:val="20"/>
        </w:rPr>
        <w:t xml:space="preserve">Le contrôle technique a pour objectif :</w:t>
      </w:r>
    </w:p>
    <w:p>
      <w:pPr>
        <w:spacing w:after="60"/>
        <w:ind w:left="360"/>
      </w:pPr>
      <w:r>
        <w:rPr>
          <w:rFonts w:ascii="Arial" w:cs="Arial" w:eastAsia="Arial" w:hAnsi="Arial"/>
          <w:sz w:val="20"/>
          <w:szCs w:val="20"/>
        </w:rPr>
        <w:t xml:space="preserve">• De vérifier la présence et le bon état des dispositifs de sécurité exigés par le décret n° 2000-810 du 24 août 2000 pour les ascenseurs relevant de son champ d'application ;</w:t>
      </w:r>
    </w:p>
    <w:p>
      <w:pPr>
        <w:spacing w:after="60"/>
        <w:ind w:left="360"/>
      </w:pPr>
      <w:r>
        <w:rPr>
          <w:rFonts w:ascii="Arial" w:cs="Arial" w:eastAsia="Arial" w:hAnsi="Arial"/>
          <w:sz w:val="20"/>
          <w:szCs w:val="20"/>
        </w:rPr>
        <w:t xml:space="preserve">• De contrôler, pour les autres ascenseurs, la présence et le bon état des dispositifs de sécurité prévus aux articles R. 125-1-1 et R. 125-1-2, ou la mise en œuvre effective des mesures équivalentes prévues à l'article R. 125-1-3 ;</w:t>
      </w:r>
    </w:p>
    <w:p>
      <w:pPr>
        <w:spacing w:after="60"/>
        <w:ind w:left="360"/>
      </w:pPr>
      <w:r>
        <w:rPr>
          <w:rFonts w:ascii="Arial" w:cs="Arial" w:eastAsia="Arial" w:hAnsi="Arial"/>
          <w:sz w:val="20"/>
          <w:szCs w:val="20"/>
        </w:rPr>
        <w:t xml:space="preserve">• D'identifier toute anomalie ou défaillance susceptible de compromettre la sécurité des personnes ou le bon fonctionnement des appareils.</w:t>
      </w:r>
    </w:p>
    <w:p>
      <w:pPr>
        <w:keepNext w:val="false"/>
        <w:spacing w:after="120"/>
        <w:jc w:val="both"/>
      </w:pPr>
      <w:r>
        <w:rPr>
          <w:rFonts w:ascii="Arial" w:cs="Arial" w:eastAsia="Arial" w:hAnsi="Arial"/>
          <w:b/>
          <w:bCs/>
          <w:i w:val="false"/>
          <w:iCs w:val="false"/>
          <w:color w:val="EA4E00"/>
          <w:sz w:val="22"/>
          <w:szCs w:val="22"/>
        </w:rPr>
        <w:t xml:space="preserve">2. Rapport de Contrôle Technique</w:t>
      </w:r>
    </w:p>
    <w:p>
      <w:pPr>
        <w:keepNext w:val="false"/>
        <w:spacing w:after="120"/>
        <w:jc w:val="both"/>
      </w:pPr>
      <w:r>
        <w:rPr>
          <w:rFonts w:ascii="Arial" w:cs="Arial" w:eastAsia="Arial" w:hAnsi="Arial"/>
          <w:b w:val="false"/>
          <w:bCs w:val="false"/>
          <w:i w:val="false"/>
          <w:iCs w:val="false"/>
          <w:color w:val="000000"/>
          <w:sz w:val="20"/>
          <w:szCs w:val="20"/>
        </w:rPr>
        <w:t xml:space="preserve">À l'issue de la mission, LVO-INGENIERIE remettra un rapport comprenant :</w:t>
      </w:r>
    </w:p>
    <w:p>
      <w:pPr>
        <w:spacing w:after="60"/>
        <w:ind w:left="360"/>
      </w:pPr>
      <w:r>
        <w:rPr>
          <w:rFonts w:ascii="Arial" w:cs="Arial" w:eastAsia="Arial" w:hAnsi="Arial"/>
          <w:sz w:val="20"/>
          <w:szCs w:val="20"/>
        </w:rPr>
        <w:t xml:space="preserve">• Les caractéristiques techniques principales de l'ascenseur contrôlé ;</w:t>
      </w:r>
    </w:p>
    <w:p>
      <w:pPr>
        <w:spacing w:after="60"/>
        <w:ind w:left="360"/>
      </w:pPr>
      <w:r>
        <w:rPr>
          <w:rFonts w:ascii="Arial" w:cs="Arial" w:eastAsia="Arial" w:hAnsi="Arial"/>
          <w:sz w:val="20"/>
          <w:szCs w:val="20"/>
        </w:rPr>
        <w:t xml:space="preserve">• Une synthèse des résultats du contrôle technique, précisant notamment les documents mis à disposition du contrôleur, les équipements vérifiés ou non vérifiés, ainsi que les travaux obligatoires à réaliser selon les échéances réglementaires ;</w:t>
      </w:r>
    </w:p>
    <w:p>
      <w:pPr>
        <w:spacing w:after="60"/>
        <w:ind w:left="360"/>
      </w:pPr>
      <w:r>
        <w:rPr>
          <w:rFonts w:ascii="Arial" w:cs="Arial" w:eastAsia="Arial" w:hAnsi="Arial"/>
          <w:sz w:val="20"/>
          <w:szCs w:val="20"/>
        </w:rPr>
        <w:t xml:space="preserve">• La liste des travaux de mise en sécurité ou en conformité incombant au Client, conformément aux dispositions réglementaires applicables, notamment les articles R. 125-1-2 à R. 125-1-4 du Code de la construction et de l'habitation ou le décret du 24 août 2000, avec indication des échéances correspondantes ;</w:t>
      </w:r>
    </w:p>
    <w:p>
      <w:pPr>
        <w:spacing w:after="60"/>
        <w:ind w:left="360"/>
      </w:pPr>
      <w:r>
        <w:rPr>
          <w:rFonts w:ascii="Arial" w:cs="Arial" w:eastAsia="Arial" w:hAnsi="Arial"/>
          <w:sz w:val="20"/>
          <w:szCs w:val="20"/>
        </w:rPr>
        <w:t xml:space="preserve">• Le relevé des anomalies et observations susceptibles de compromettre la sécurité des personnes, en précisant leur nature et leur localisation ;</w:t>
      </w:r>
    </w:p>
    <w:p>
      <w:pPr>
        <w:spacing w:after="60"/>
        <w:ind w:left="360"/>
      </w:pPr>
      <w:r>
        <w:rPr>
          <w:rFonts w:ascii="Arial" w:cs="Arial" w:eastAsia="Arial" w:hAnsi="Arial"/>
          <w:sz w:val="20"/>
          <w:szCs w:val="20"/>
        </w:rPr>
        <w:t xml:space="preserve">• Une annexe des réserves de maintenance observées.</w:t>
      </w:r>
    </w:p>
    <w:p>
      <w:pPr>
        <w:keepNext w:val="false"/>
        <w:spacing w:after="120"/>
        <w:jc w:val="both"/>
      </w:pPr>
      <w:r>
        <w:rPr>
          <w:rFonts w:ascii="Arial" w:cs="Arial" w:eastAsia="Arial" w:hAnsi="Arial"/>
          <w:b/>
          <w:bCs/>
          <w:i w:val="false"/>
          <w:iCs w:val="false"/>
          <w:color w:val="EA4E00"/>
          <w:sz w:val="22"/>
          <w:szCs w:val="22"/>
        </w:rPr>
        <w:t xml:space="preserve">3. Prestation Optionnelle : Constat de levée des réserves</w:t>
      </w:r>
    </w:p>
    <w:p>
      <w:pPr>
        <w:keepNext w:val="false"/>
        <w:spacing w:after="120"/>
        <w:jc w:val="both"/>
      </w:pPr>
      <w:r>
        <w:rPr>
          <w:rFonts w:ascii="Arial" w:cs="Arial" w:eastAsia="Arial" w:hAnsi="Arial"/>
          <w:b w:val="false"/>
          <w:bCs w:val="false"/>
          <w:i w:val="false"/>
          <w:iCs w:val="false"/>
          <w:color w:val="000000"/>
          <w:sz w:val="20"/>
          <w:szCs w:val="20"/>
        </w:rPr>
        <w:t xml:space="preserve">Le propriétaire ou son représentant transmettra au prestataire la liste des anomalies à traiter.</w:t>
      </w:r>
    </w:p>
    <w:p>
      <w:pPr>
        <w:keepNext w:val="false"/>
        <w:spacing w:after="120"/>
        <w:jc w:val="both"/>
      </w:pPr>
      <w:r>
        <w:rPr>
          <w:rFonts w:ascii="Arial" w:cs="Arial" w:eastAsia="Arial" w:hAnsi="Arial"/>
          <w:b w:val="false"/>
          <w:bCs w:val="false"/>
          <w:i w:val="false"/>
          <w:iCs w:val="false"/>
          <w:color w:val="000000"/>
          <w:sz w:val="20"/>
          <w:szCs w:val="20"/>
        </w:rPr>
        <w:t xml:space="preserve">À sa demande, LVO-INGENIERIE pourra réaliser une visite contradictoire afin de vérifier la levée des anomalies relevant du contrat de maintenance, sous réserve de la réception préalable d'une attestation de levée des anomalies établie par le prestataire. Un procès-verbal sera transmis à l'issue de chaque visite.</w:t>
      </w:r>
    </w:p>
    <w:p>
      <w:pPr>
        <w:keepNext w:val="false"/>
        <w:spacing w:after="120"/>
        <w:jc w:val="both"/>
      </w:pPr>
      <w:r>
        <w:rPr>
          <w:rFonts w:ascii="Arial" w:cs="Arial" w:eastAsia="Arial" w:hAnsi="Arial"/>
          <w:b w:val="false"/>
          <w:bCs w:val="false"/>
          <w:i w:val="false"/>
          <w:iCs w:val="false"/>
          <w:color w:val="000000"/>
          <w:sz w:val="20"/>
          <w:szCs w:val="20"/>
        </w:rPr>
        <w:t xml:space="preserve">Le coût est fixé à 250 € HT par ascenseur et par visite, y compris pour toute visite supplémentaire demandée par écrit. La facturation interviendra à la remise du procès-verbal.</w:t>
      </w:r>
    </w:p>
    <w:p/>
    <w:p>
      <w:pPr>
        <w:pageBreakBefore/>
      </w:pPr>
    </w:p>
    <w:p>
      <w:pPr>
        <w:pBdr>
          <w:bottom w:val="single" w:color="FF6B00" w:sz="6" w:space="4"/>
        </w:pBdr>
        <w:spacing w:after="200"/>
      </w:pPr>
      <w:r>
        <w:rPr>
          <w:rFonts w:ascii="Arial" w:cs="Arial" w:eastAsia="Arial" w:hAnsi="Arial"/>
          <w:b/>
          <w:bCs/>
          <w:color w:val="1A2B4C"/>
          <w:sz w:val="26"/>
          <w:szCs w:val="26"/>
        </w:rPr>
        <w:t xml:space="preserve">MONTANT DES HONORAIRES</w:t>
      </w:r>
    </w:p>
    <w:p/>
    <w:p>
      <w:pPr>
        <w:keepNext w:val="false"/>
        <w:spacing w:after="120"/>
        <w:jc w:val="both"/>
      </w:pPr>
      <w:r>
        <w:rPr>
          <w:rFonts w:ascii="Arial" w:cs="Arial" w:eastAsia="Arial" w:hAnsi="Arial"/>
          <w:b/>
          <w:bCs/>
          <w:i w:val="false"/>
          <w:iCs w:val="false"/>
          <w:color w:val="1A2B4C"/>
          <w:sz w:val="22"/>
          <w:szCs w:val="22"/>
        </w:rPr>
        <w:t xml:space="preserve">Tableau de l'offre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155"/>
        <w:gridCol w:w="3871"/>
      </w:tblGrid>
      <w:tr>
        <w:tc>
          <w:tcPr>
            <w:tcW w:type="dxa" w:w="5155"/>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PRESTATION</w:t>
            </w:r>
          </w:p>
        </w:tc>
        <w:tc>
          <w:tcPr>
            <w:tcW w:type="dxa" w:w="3871"/>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MONTANT HT</w:t>
            </w:r>
          </w:p>
        </w:tc>
      </w:tr>
      <w:tr>
        <w:tc>
          <w:tcPr>
            <w:tcW w:type="dxa" w:w="5155"/>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Contrôle Technique Quinquennal</w:t>
            </w:r>
          </w:p>
        </w:tc>
        <w:tc>
          <w:tcPr>
            <w:tcW w:type="dxa" w:w="3871"/>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350,00 € HT / Ascenseur</w:t>
            </w:r>
          </w:p>
        </w:tc>
      </w:tr>
      <w:tr>
        <w:tc>
          <w:tcPr>
            <w:tcW w:type="dxa" w:w="5155"/>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TOTAL</w:t>
            </w:r>
          </w:p>
        </w:tc>
        <w:tc>
          <w:tcPr>
            <w:tcW w:type="dxa" w:w="3871"/>
            <w:tcBorders>
              <w:top w:val="single" w:color="8E9DAE" w:sz="1"/>
              <w:left w:val="single" w:color="8E9DAE" w:sz="1"/>
              <w:bottom w:val="single" w:color="8E9DAE" w:sz="1"/>
              <w:right w:val="single" w:color="8E9DAE" w:sz="1"/>
            </w:tcBorders>
            <w:shd w:fill="FF6B00" w:val="clear"/>
            <w:tcMar>
              <w:top w:type="dxa" w:w="100"/>
              <w:left w:type="dxa" w:w="150"/>
              <w:bottom w:type="dxa" w:w="100"/>
              <w:right w:type="dxa" w:w="150"/>
            </w:tcMar>
            <w:vAlign w:val="center"/>
          </w:tcPr>
          <w:p>
            <w:r>
              <w:rPr>
                <w:rFonts w:ascii="Arial" w:cs="Arial" w:eastAsia="Arial" w:hAnsi="Arial"/>
                <w:b/>
                <w:bCs/>
                <w:color w:val="FFFFFF"/>
                <w:sz w:val="22"/>
                <w:szCs w:val="22"/>
              </w:rPr>
              <w:t xml:space="preserve">350,00 € HT</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8E9DAE" w:sz="1"/>
              <w:left w:val="single" w:color="8E9DAE" w:sz="1"/>
              <w:bottom w:val="single" w:color="8E9DAE" w:sz="1"/>
              <w:right w:val="single" w:color="8E9DAE" w:sz="1"/>
            </w:tcBorders>
            <w:shd w:fill="F4F6F9" w:val="clear"/>
            <w:tcMar>
              <w:top w:type="dxa" w:w="120"/>
              <w:left w:type="dxa" w:w="200"/>
              <w:bottom w:type="dxa" w:w="120"/>
              <w:right w:type="dxa" w:w="200"/>
            </w:tcMar>
          </w:tcPr>
          <w:p>
            <w:pPr>
              <w:jc w:val="center"/>
            </w:pPr>
            <w:r>
              <w:rPr>
                <w:rFonts w:ascii="Arial" w:cs="Arial" w:eastAsia="Arial" w:hAnsi="Arial"/>
                <w:b/>
                <w:bCs/>
                <w:color w:val="1A2B4C"/>
                <w:sz w:val="19"/>
                <w:szCs w:val="19"/>
              </w:rPr>
              <w:t xml:space="preserve">Coût horaire LVO-INGENIERIE : 175 € HT       |       Coût Journalier : 1 225 € HT</w:t>
            </w:r>
          </w:p>
          <w:p>
            <w:r>
              <w:rPr>
                <w:rFonts w:ascii="Arial" w:cs="Arial" w:eastAsia="Arial" w:hAnsi="Arial"/>
                <w:color w:val="8E9DAE"/>
                <w:sz w:val="18"/>
                <w:szCs w:val="18"/>
              </w:rPr>
              <w:t xml:space="preserve">TVA applicable : 8,5 %</w:t>
            </w:r>
          </w:p>
          <w:p>
            <w:r>
              <w:rPr>
                <w:rFonts w:ascii="Arial" w:cs="Arial" w:eastAsia="Arial" w:hAnsi="Arial"/>
                <w:color w:val="8E9DAE"/>
                <w:sz w:val="18"/>
                <w:szCs w:val="18"/>
              </w:rPr>
              <w:t xml:space="preserve">Offre valable 3 mois — Révisable selon l'indice SYNTEC.</w:t>
            </w:r>
          </w:p>
        </w:tc>
      </w:tr>
    </w:tbl>
    <w:p/>
    <w:p>
      <w:pPr>
        <w:keepNext w:val="false"/>
        <w:spacing w:after="120"/>
        <w:jc w:val="both"/>
      </w:pPr>
      <w:r>
        <w:rPr>
          <w:rFonts w:ascii="Arial" w:cs="Arial" w:eastAsia="Arial" w:hAnsi="Arial"/>
          <w:b/>
          <w:bCs/>
          <w:i w:val="false"/>
          <w:iCs w:val="false"/>
          <w:color w:val="1A2B4C"/>
          <w:sz w:val="22"/>
          <w:szCs w:val="22"/>
        </w:rPr>
        <w:t xml:space="preserve">Échéancier de facturation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85"/>
        <w:gridCol w:w="1739"/>
        <w:gridCol w:w="3602"/>
      </w:tblGrid>
      <w:tr>
        <w:tc>
          <w:tcPr>
            <w:tcW w:type="dxa" w:w="3685"/>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PHASE</w:t>
            </w:r>
          </w:p>
        </w:tc>
        <w:tc>
          <w:tcPr>
            <w:tcW w:type="dxa" w:w="1739"/>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MONTANT HT</w:t>
            </w:r>
          </w:p>
        </w:tc>
        <w:tc>
          <w:tcPr>
            <w:tcW w:type="dxa" w:w="3602"/>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FACTURATION — ÉCHÉANCIER</w:t>
            </w:r>
          </w:p>
        </w:tc>
      </w:tr>
      <w:tr>
        <w:tc>
          <w:tcPr>
            <w:tcW w:type="dxa" w:w="3685"/>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CONTRÔLE TECHNIQUE QUINQUENNAL</w:t>
            </w:r>
          </w:p>
        </w:tc>
        <w:tc>
          <w:tcPr>
            <w:tcW w:type="dxa" w:w="1739"/>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350,00 €</w:t>
            </w:r>
          </w:p>
        </w:tc>
        <w:tc>
          <w:tcPr>
            <w:tcW w:type="dxa" w:w="3602"/>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À l'envoi du rapport</w:t>
            </w:r>
          </w:p>
        </w:tc>
      </w:tr>
      <w:tr>
        <w:tc>
          <w:tcPr>
            <w:tcW w:type="dxa" w:w="3685"/>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TOTAL</w:t>
            </w:r>
          </w:p>
        </w:tc>
        <w:tc>
          <w:tcPr>
            <w:tcW w:type="dxa" w:w="1739"/>
            <w:tcBorders>
              <w:top w:val="single" w:color="8E9DAE" w:sz="1"/>
              <w:left w:val="single" w:color="8E9DAE" w:sz="1"/>
              <w:bottom w:val="single" w:color="8E9DAE" w:sz="1"/>
              <w:right w:val="single" w:color="8E9DAE" w:sz="1"/>
            </w:tcBorders>
            <w:shd w:fill="FF6B00" w:val="clear"/>
            <w:tcMar>
              <w:top w:type="dxa" w:w="100"/>
              <w:left w:type="dxa" w:w="150"/>
              <w:bottom w:type="dxa" w:w="100"/>
              <w:right w:type="dxa" w:w="150"/>
            </w:tcMar>
            <w:vAlign w:val="center"/>
          </w:tcPr>
          <w:p>
            <w:r>
              <w:rPr>
                <w:rFonts w:ascii="Arial" w:cs="Arial" w:eastAsia="Arial" w:hAnsi="Arial"/>
                <w:b/>
                <w:bCs/>
                <w:color w:val="FFFFFF"/>
                <w:sz w:val="19"/>
                <w:szCs w:val="19"/>
              </w:rPr>
              <w:t xml:space="preserve">350,00 €</w:t>
            </w:r>
          </w:p>
        </w:tc>
        <w:tc>
          <w:tcPr>
            <w:tcW w:type="dxa" w:w="3602"/>
            <w:tcBorders>
              <w:top w:val="single" w:color="8E9DAE" w:sz="1"/>
              <w:left w:val="single" w:color="8E9DAE" w:sz="1"/>
              <w:bottom w:val="single" w:color="8E9DAE" w:sz="1"/>
              <w:right w:val="single" w:color="8E9DAE" w:sz="1"/>
            </w:tcBorders>
            <w:shd w:fill="F4F6F9"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
            </w:r>
          </w:p>
        </w:tc>
      </w:tr>
    </w:tbl>
    <w:p>
      <w:pPr>
        <w:pageBreakBefore/>
      </w:pPr>
    </w:p>
    <w:p>
      <w:pPr>
        <w:pBdr>
          <w:bottom w:val="single" w:color="FF6B00" w:sz="6" w:space="4"/>
        </w:pBdr>
        <w:spacing w:after="200"/>
      </w:pPr>
      <w:r>
        <w:rPr>
          <w:rFonts w:ascii="Arial" w:cs="Arial" w:eastAsia="Arial" w:hAnsi="Arial"/>
          <w:b/>
          <w:bCs/>
          <w:color w:val="1A2B4C"/>
          <w:sz w:val="26"/>
          <w:szCs w:val="26"/>
        </w:rPr>
        <w:t xml:space="preserve">DÉLAIS ET CALENDRIER PRÉVISIONNEL</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16"/>
        <w:gridCol w:w="6210"/>
      </w:tblGrid>
      <w:tr>
        <w:tc>
          <w:tcPr>
            <w:tcW w:type="dxa" w:w="2816"/>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PRESTATION</w:t>
            </w:r>
          </w:p>
        </w:tc>
        <w:tc>
          <w:tcPr>
            <w:tcW w:type="dxa" w:w="6210"/>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DÉLAI PRÉVISIONNEL</w:t>
            </w:r>
          </w:p>
        </w:tc>
      </w:tr>
      <w:tr>
        <w:tc>
          <w:tcPr>
            <w:tcW w:type="dxa" w:w="2816"/>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Relevé sur site</w:t>
            </w:r>
          </w:p>
        </w:tc>
        <w:tc>
          <w:tcPr>
            <w:tcW w:type="dxa" w:w="6210"/>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Suivant demande du maître d'ouvrage et charge de travail</w:t>
            </w:r>
          </w:p>
        </w:tc>
      </w:tr>
      <w:tr>
        <w:tc>
          <w:tcPr>
            <w:tcW w:type="dxa" w:w="2816"/>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Transmission du rapport</w:t>
            </w:r>
          </w:p>
        </w:tc>
        <w:tc>
          <w:tcPr>
            <w:tcW w:type="dxa" w:w="6210"/>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3 semaines maximum après relevé sur site</w:t>
            </w:r>
          </w:p>
        </w:tc>
      </w:tr>
    </w:tbl>
    <w:p>
      <w:pPr>
        <w:pageBreakBefore/>
      </w:pPr>
    </w:p>
    <w:p>
      <w:pPr>
        <w:pBdr>
          <w:bottom w:val="single" w:color="FF6B00" w:sz="6" w:space="4"/>
        </w:pBdr>
        <w:spacing w:after="200"/>
      </w:pPr>
      <w:r>
        <w:rPr>
          <w:rFonts w:ascii="Arial" w:cs="Arial" w:eastAsia="Arial" w:hAnsi="Arial"/>
          <w:b/>
          <w:bCs/>
          <w:color w:val="1A2B4C"/>
          <w:sz w:val="26"/>
          <w:szCs w:val="26"/>
        </w:rPr>
        <w:t xml:space="preserve">ORDRE DE MISSION — SIGNATURES</w:t>
      </w:r>
    </w:p>
    <w:p/>
    <w:tbl>
      <w:tblPr>
        <w:tblW w:type="dxa" w:w="9062"/>
        <w:tblBorders>
          <w:top w:val="single" w:color="auto" w:sz="4"/>
          <w:left w:val="single" w:color="auto" w:sz="4"/>
          <w:bottom w:val="single" w:color="auto" w:sz="4"/>
          <w:right w:val="single" w:color="auto" w:sz="4"/>
          <w:insideH w:val="single" w:color="auto" w:sz="4"/>
          <w:insideV w:val="single" w:color="auto" w:sz="4"/>
        </w:tblBorders>
      </w:tblPr>
      <w:tblGrid>
        <w:gridCol w:w="4252"/>
        <w:gridCol w:w="320"/>
        <w:gridCol w:w="4490"/>
      </w:tblGrid>
      <w:tr>
        <w:tc>
          <w:tcPr>
            <w:tcW w:type="dxa" w:w="4252"/>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LE CLIENT</w:t>
            </w:r>
          </w:p>
        </w:tc>
        <w:tc>
          <w:tcPr>
            <w:tcW w:type="dxa" w:w="320"/>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vAlign w:val="center"/>
          </w:tcPr>
          <w:p/>
        </w:tc>
        <w:tc>
          <w:tcPr>
            <w:tcW w:type="dxa" w:w="4490"/>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LVO-INGENIERIE</w:t>
            </w:r>
          </w:p>
        </w:tc>
      </w:tr>
      <w:tr>
        <w:tc>
          <w:tcPr>
            <w:tcW w:type="dxa" w:w="4252"/>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Accepté par :</w:t>
            </w:r>
          </w:p>
        </w:tc>
        <w:tc>
          <w:tcPr>
            <w:tcW w:type="dxa" w:w="320"/>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vAlign w:val="center"/>
          </w:tcPr>
          <w:p/>
        </w:tc>
        <w:tc>
          <w:tcPr>
            <w:tcW w:type="dxa" w:w="4490"/>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Accepté par :  Mr Hatem LEMBARKI</w:t>
            </w:r>
          </w:p>
        </w:tc>
      </w:tr>
      <w:tr>
        <w:tc>
          <w:tcPr>
            <w:tcW w:type="dxa" w:w="4252"/>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bCs/>
                <w:color w:val="1A2B4C"/>
                <w:sz w:val="19"/>
                <w:szCs w:val="19"/>
              </w:rPr>
              <w:t xml:space="preserve">Fonction :</w:t>
            </w:r>
          </w:p>
        </w:tc>
        <w:tc>
          <w:tcPr>
            <w:tcW w:type="dxa" w:w="320"/>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vAlign w:val="center"/>
          </w:tcPr>
          <w:p/>
        </w:tc>
        <w:tc>
          <w:tcPr>
            <w:tcW w:type="dxa" w:w="4490"/>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Fonction : Fondateur Gérant</w:t>
            </w:r>
          </w:p>
        </w:tc>
      </w:tr>
      <w:tr>
        <w:tc>
          <w:tcPr>
            <w:tcW w:type="dxa" w:w="4252"/>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Date :</w:t>
            </w:r>
          </w:p>
        </w:tc>
        <w:tc>
          <w:tcPr>
            <w:tcW w:type="dxa" w:w="320"/>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vAlign w:val="center"/>
          </w:tcPr>
          <w:p/>
        </w:tc>
        <w:tc>
          <w:tcPr>
            <w:tcW w:type="dxa" w:w="4490"/>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Date :  21 septembre 2026</w:t>
            </w:r>
          </w:p>
        </w:tc>
      </w:tr>
      <w:tr>
        <w:tc>
          <w:tcPr>
            <w:tcW w:type="dxa" w:w="4252"/>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bCs/>
                <w:color w:val="1A2B4C"/>
                <w:sz w:val="19"/>
                <w:szCs w:val="19"/>
              </w:rPr>
              <w:t xml:space="preserve">Signature &amp; cachet</w:t>
            </w:r>
          </w:p>
        </w:tc>
        <w:tc>
          <w:tcPr>
            <w:tcW w:type="dxa" w:w="320"/>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vAlign w:val="center"/>
          </w:tcPr>
          <w:p/>
        </w:tc>
        <w:tc>
          <w:tcPr>
            <w:tcW w:type="dxa" w:w="4490"/>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bCs/>
                <w:color w:val="1A2B4C"/>
                <w:sz w:val="19"/>
                <w:szCs w:val="19"/>
              </w:rPr>
              <w:t xml:space="preserve">Signature &amp; cachet</w:t>
            </w:r>
          </w:p>
        </w:tc>
      </w:tr>
      <w:tr>
        <w:tc>
          <w:tcPr>
            <w:tcW w:type="dxa" w:w="4252"/>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bCs/>
                <w:color w:val="1A2B4C"/>
                <w:sz w:val="19"/>
                <w:szCs w:val="19"/>
              </w:rPr>
              <w:t xml:space="preserve"/>
            </w:r>
          </w:p>
        </w:tc>
        <w:tc>
          <w:tcPr>
            <w:tcW w:type="dxa" w:w="320"/>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vAlign w:val="center"/>
          </w:tcPr>
          <w:p/>
        </w:tc>
        <w:tc>
          <w:tcPr>
            <w:tcW w:type="dxa" w:w="4490"/>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pPr>
              <w:keepNext w:val="false"/>
              <w:jc w:val="center"/>
            </w:pPr>
            <w:r>
              <w:drawing>
                <wp:inline distT="0" distB="0" distL="0" distR="0">
                  <wp:extent cx="16192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619250" cy="1619250"/>
                          </a:xfrm>
                          <a:prstGeom prst="rect">
                            <a:avLst/>
                          </a:prstGeom>
                        </pic:spPr>
                      </pic:pic>
                    </a:graphicData>
                  </a:graphic>
                </wp:inline>
              </w:drawing>
            </w:r>
          </w:p>
        </w:tc>
      </w:tr>
    </w:tbl>
    <w:p>
      <w:pPr>
        <w:pageBreakBefore/>
      </w:pPr>
    </w:p>
    <w:p>
      <w:pPr>
        <w:pBdr>
          <w:bottom w:val="single" w:color="FF6B00" w:sz="6" w:space="4"/>
        </w:pBdr>
        <w:spacing w:after="200"/>
      </w:pPr>
      <w:r>
        <w:rPr>
          <w:rFonts w:ascii="Arial" w:cs="Arial" w:eastAsia="Arial" w:hAnsi="Arial"/>
          <w:b/>
          <w:bCs/>
          <w:color w:val="1A2B4C"/>
          <w:sz w:val="26"/>
          <w:szCs w:val="26"/>
        </w:rPr>
        <w:t xml:space="preserve">INFORMATIONS ET CONDITIONS GÉNÉRALES DE VENTES</w:t>
      </w:r>
    </w:p>
    <w:p/>
    <w:p>
      <w:pPr>
        <w:keepNext w:val="false"/>
        <w:spacing w:after="120"/>
        <w:jc w:val="both"/>
      </w:pPr>
      <w:r>
        <w:rPr>
          <w:rFonts w:ascii="Arial" w:cs="Arial" w:eastAsia="Arial" w:hAnsi="Arial"/>
          <w:b/>
          <w:bCs/>
          <w:i w:val="false"/>
          <w:iCs w:val="false"/>
          <w:color w:val="1A2B4C"/>
          <w:sz w:val="22"/>
          <w:szCs w:val="22"/>
        </w:rPr>
        <w:t xml:space="preserve">Introduction</w:t>
      </w:r>
    </w:p>
    <w:p>
      <w:pPr>
        <w:keepNext w:val="false"/>
        <w:spacing w:after="120"/>
        <w:jc w:val="both"/>
      </w:pPr>
      <w:r>
        <w:rPr>
          <w:rFonts w:ascii="Arial" w:cs="Arial" w:eastAsia="Arial" w:hAnsi="Arial"/>
          <w:b w:val="false"/>
          <w:bCs w:val="false"/>
          <w:i w:val="false"/>
          <w:iCs w:val="false"/>
          <w:color w:val="000000"/>
          <w:sz w:val="18"/>
          <w:szCs w:val="18"/>
        </w:rPr>
        <w:t xml:space="preserve">Les mentions « nous » et « le bureau d'études » renvoient à LVO-INGENIERIE, Société à responsabilité limitée sous le numéro 102 486 917 R.C.S. Saint-Denis de La Réunion, dont le siège social se trouve au Centre d'affaires CADJEE, 62 Boulevard du Chaudron, 97491 Saint-Denis La Réunion.</w:t>
      </w:r>
    </w:p>
    <w:p/>
    <w:p>
      <w:pPr>
        <w:keepNext w:val="false"/>
        <w:spacing w:after="120"/>
        <w:jc w:val="both"/>
      </w:pPr>
      <w:r>
        <w:rPr>
          <w:rFonts w:ascii="Arial" w:cs="Arial" w:eastAsia="Arial" w:hAnsi="Arial"/>
          <w:b/>
          <w:bCs/>
          <w:i w:val="false"/>
          <w:iCs w:val="false"/>
          <w:color w:val="EA4E00"/>
          <w:sz w:val="22"/>
          <w:szCs w:val="22"/>
        </w:rPr>
        <w:t xml:space="preserve">1. RESPONSABILITÉ CONCERNANT VOS TRAVAUX</w:t>
      </w:r>
    </w:p>
    <w:p>
      <w:pPr>
        <w:keepNext w:val="false"/>
        <w:spacing w:after="120"/>
        <w:jc w:val="both"/>
      </w:pPr>
      <w:r>
        <w:rPr>
          <w:rFonts w:ascii="Arial" w:cs="Arial" w:eastAsia="Arial" w:hAnsi="Arial"/>
          <w:b w:val="false"/>
          <w:bCs w:val="false"/>
          <w:i w:val="false"/>
          <w:iCs w:val="false"/>
          <w:color w:val="000000"/>
          <w:sz w:val="20"/>
          <w:szCs w:val="20"/>
        </w:rPr>
        <w:t xml:space="preserve">Nous vous confirmerons qui sera responsable de vos travaux. Le consultant agissant en votre nom sera certainement secondé par d'autres consultants ou employés facturables du cabinet. Si ces personnes sont amenées à jouer un rôle permanent, nous vous communiquerons leurs coordonnées.</w:t>
      </w:r>
    </w:p>
    <w:p>
      <w:pPr>
        <w:keepNext w:val="false"/>
        <w:spacing w:after="120"/>
        <w:jc w:val="both"/>
      </w:pPr>
      <w:r>
        <w:rPr>
          <w:rFonts w:ascii="Arial" w:cs="Arial" w:eastAsia="Arial" w:hAnsi="Arial"/>
          <w:b/>
          <w:bCs/>
          <w:i w:val="false"/>
          <w:iCs w:val="false"/>
          <w:color w:val="EA4E00"/>
          <w:sz w:val="22"/>
          <w:szCs w:val="22"/>
        </w:rPr>
        <w:t xml:space="preserve">2. LA MANIÈRE DONT NOUS EXÉCUTONS VOS INSTRUCTIONS</w:t>
      </w:r>
    </w:p>
    <w:p>
      <w:pPr>
        <w:keepNext w:val="false"/>
        <w:spacing w:after="120"/>
        <w:jc w:val="both"/>
      </w:pPr>
      <w:r>
        <w:rPr>
          <w:rFonts w:ascii="Arial" w:cs="Arial" w:eastAsia="Arial" w:hAnsi="Arial"/>
          <w:b w:val="false"/>
          <w:bCs w:val="false"/>
          <w:i w:val="false"/>
          <w:iCs w:val="false"/>
          <w:color w:val="000000"/>
          <w:sz w:val="20"/>
          <w:szCs w:val="20"/>
        </w:rPr>
        <w:t xml:space="preserve">Le cas échéant, nous conviendrons d'une stratégie concernant vos travaux et nous vous tiendrons au courant de leur évolution, afin que vous puissiez prendre des décisions éclairées le moment voulu. Si vous souhaitez opter pour une solution contraire à notre conseil, nous vous demanderons de confirmer vos instructions par écrit. Nous nous engageons à respecter toute échéance convenue, sauf accord écrit contraire stipulant une heure, une date ou une période de livraison.</w:t>
      </w:r>
    </w:p>
    <w:p>
      <w:pPr>
        <w:keepNext w:val="false"/>
        <w:spacing w:after="120"/>
        <w:jc w:val="both"/>
      </w:pPr>
      <w:r>
        <w:rPr>
          <w:rFonts w:ascii="Arial" w:cs="Arial" w:eastAsia="Arial" w:hAnsi="Arial"/>
          <w:b/>
          <w:bCs/>
          <w:i w:val="false"/>
          <w:iCs w:val="false"/>
          <w:color w:val="EA4E00"/>
          <w:sz w:val="22"/>
          <w:szCs w:val="22"/>
        </w:rPr>
        <w:t xml:space="preserve">3. CONCLUSION DU CONTRAT</w:t>
      </w:r>
    </w:p>
    <w:p>
      <w:pPr>
        <w:keepNext w:val="false"/>
        <w:spacing w:after="120"/>
        <w:jc w:val="both"/>
      </w:pPr>
      <w:r>
        <w:rPr>
          <w:rFonts w:ascii="Arial" w:cs="Arial" w:eastAsia="Arial" w:hAnsi="Arial"/>
          <w:b w:val="false"/>
          <w:bCs w:val="false"/>
          <w:i w:val="false"/>
          <w:iCs w:val="false"/>
          <w:color w:val="000000"/>
          <w:sz w:val="20"/>
          <w:szCs w:val="20"/>
        </w:rPr>
        <w:t xml:space="preserve">Nous vous informons que la signature de l'ordre de mission vaut pour acceptation des présentes Conditions Générales. Tout ordre de mission surchargé ou raturé sera considéré comme nul.</w:t>
      </w:r>
    </w:p>
    <w:p>
      <w:pPr>
        <w:keepNext w:val="false"/>
        <w:spacing w:after="120"/>
        <w:jc w:val="both"/>
      </w:pPr>
      <w:r>
        <w:rPr>
          <w:rFonts w:ascii="Arial" w:cs="Arial" w:eastAsia="Arial" w:hAnsi="Arial"/>
          <w:b/>
          <w:bCs/>
          <w:i w:val="false"/>
          <w:iCs w:val="false"/>
          <w:color w:val="EA4E00"/>
          <w:sz w:val="22"/>
          <w:szCs w:val="22"/>
        </w:rPr>
        <w:t xml:space="preserve">4. PORTÉE DE NOTRE CONSEIL</w:t>
      </w:r>
    </w:p>
    <w:p>
      <w:pPr>
        <w:keepNext w:val="false"/>
        <w:spacing w:after="120"/>
        <w:jc w:val="both"/>
      </w:pPr>
      <w:r>
        <w:rPr>
          <w:rFonts w:ascii="Arial" w:cs="Arial" w:eastAsia="Arial" w:hAnsi="Arial"/>
          <w:b w:val="false"/>
          <w:bCs w:val="false"/>
          <w:i w:val="false"/>
          <w:iCs w:val="false"/>
          <w:color w:val="000000"/>
          <w:sz w:val="20"/>
          <w:szCs w:val="20"/>
        </w:rPr>
        <w:t xml:space="preserve">4.1 Notre expertise et notre conseil sont spécialisés et découlent de notre expérience ainsi que des codes, normes, lois applicables dans le territoire concerné. Notre expertise relève du domaine du « transport des personnes et des biens ».</w:t>
      </w:r>
    </w:p>
    <w:p>
      <w:pPr>
        <w:keepNext w:val="false"/>
        <w:spacing w:after="120"/>
        <w:jc w:val="both"/>
      </w:pPr>
      <w:r>
        <w:rPr>
          <w:rFonts w:ascii="Arial" w:cs="Arial" w:eastAsia="Arial" w:hAnsi="Arial"/>
          <w:b w:val="false"/>
          <w:bCs w:val="false"/>
          <w:i w:val="false"/>
          <w:iCs w:val="false"/>
          <w:color w:val="000000"/>
          <w:sz w:val="20"/>
          <w:szCs w:val="20"/>
        </w:rPr>
        <w:t xml:space="preserve">4.2 Nous fournissons un conseil et préparons des documents en tenant compte des codes, normes et lois en vigueur au moment de la livraison. Ces éléments sont uniquement censés être utilisés en rapport avec le projet spécifique qui nous a été confié.</w:t>
      </w:r>
    </w:p>
    <w:p>
      <w:pPr>
        <w:keepNext w:val="false"/>
        <w:spacing w:after="120"/>
        <w:jc w:val="both"/>
      </w:pPr>
      <w:r>
        <w:rPr>
          <w:rFonts w:ascii="Arial" w:cs="Arial" w:eastAsia="Arial" w:hAnsi="Arial"/>
          <w:b/>
          <w:bCs/>
          <w:i w:val="false"/>
          <w:iCs w:val="false"/>
          <w:color w:val="EA4E00"/>
          <w:sz w:val="22"/>
          <w:szCs w:val="22"/>
        </w:rPr>
        <w:t xml:space="preserve">5. HONORAIRES ET FRAIS</w:t>
      </w:r>
    </w:p>
    <w:p>
      <w:pPr>
        <w:keepNext w:val="false"/>
        <w:spacing w:after="120"/>
        <w:jc w:val="both"/>
      </w:pPr>
      <w:r>
        <w:rPr>
          <w:rFonts w:ascii="Arial" w:cs="Arial" w:eastAsia="Arial" w:hAnsi="Arial"/>
          <w:b w:val="false"/>
          <w:bCs w:val="false"/>
          <w:i w:val="false"/>
          <w:iCs w:val="false"/>
          <w:color w:val="000000"/>
          <w:sz w:val="20"/>
          <w:szCs w:val="20"/>
        </w:rPr>
        <w:t xml:space="preserve">Les honoraires sont calculés en grande partie en fonction du temps nécessaire pour réaliser les travaux pendant les heures de bureau habituelles. D'autres facteurs peuvent intervenir, tels que la nécessité d'agir rapidement, la complexité du projet, des déplacements, et le volume de la documentation. Les tarifs horaires sont revalorisés chaque année au 1er janvier. TVA : les honoraires et frais sont assujettis à la TVA au taux en vigueur : 8.5 % (ou 2,1 % avec justificatif : immeuble construit depuis plus de 2 ans, en majorité à usage copropriété).</w:t>
      </w:r>
    </w:p>
    <w:p>
      <w:pPr>
        <w:keepNext w:val="false"/>
        <w:spacing w:after="120"/>
        <w:jc w:val="both"/>
      </w:pPr>
      <w:r>
        <w:rPr>
          <w:rFonts w:ascii="Arial" w:cs="Arial" w:eastAsia="Arial" w:hAnsi="Arial"/>
          <w:b/>
          <w:bCs/>
          <w:i w:val="false"/>
          <w:iCs w:val="false"/>
          <w:color w:val="EA4E00"/>
          <w:sz w:val="22"/>
          <w:szCs w:val="22"/>
        </w:rPr>
        <w:t xml:space="preserve">6. FACTURES</w:t>
      </w:r>
    </w:p>
    <w:p>
      <w:pPr>
        <w:keepNext w:val="false"/>
        <w:spacing w:after="120"/>
        <w:jc w:val="both"/>
      </w:pPr>
      <w:r>
        <w:rPr>
          <w:rFonts w:ascii="Arial" w:cs="Arial" w:eastAsia="Arial" w:hAnsi="Arial"/>
          <w:b w:val="false"/>
          <w:bCs w:val="false"/>
          <w:i w:val="false"/>
          <w:iCs w:val="false"/>
          <w:color w:val="000000"/>
          <w:sz w:val="20"/>
          <w:szCs w:val="20"/>
        </w:rPr>
        <w:t xml:space="preserve">Nos factures sont envoyées tous les mois, sauf accord contraire. Conformément à la loi N°92-4442 du 31/12/1992, les notes d'honoraires sont payables comptant à réception. Toute facture non réglée dans les 30 jours entraîne des intérêts de 2 % par mois de retard sur le montant dû. Nous nous réservons le droit d'interrompre le travail jusqu'au règlement intégral des factures impayées.</w:t>
      </w:r>
    </w:p>
    <w:p>
      <w:pPr>
        <w:keepNext w:val="false"/>
        <w:spacing w:after="120"/>
        <w:jc w:val="both"/>
      </w:pPr>
      <w:r>
        <w:rPr>
          <w:rFonts w:ascii="Arial" w:cs="Arial" w:eastAsia="Arial" w:hAnsi="Arial"/>
          <w:b/>
          <w:bCs/>
          <w:i w:val="false"/>
          <w:iCs w:val="false"/>
          <w:color w:val="EA4E00"/>
          <w:sz w:val="22"/>
          <w:szCs w:val="22"/>
        </w:rPr>
        <w:t xml:space="preserve">7. CONFIDENTIALITÉ</w:t>
      </w:r>
    </w:p>
    <w:p>
      <w:pPr>
        <w:keepNext w:val="false"/>
        <w:spacing w:after="120"/>
        <w:jc w:val="both"/>
      </w:pPr>
      <w:r>
        <w:rPr>
          <w:rFonts w:ascii="Arial" w:cs="Arial" w:eastAsia="Arial" w:hAnsi="Arial"/>
          <w:b w:val="false"/>
          <w:bCs w:val="false"/>
          <w:i w:val="false"/>
          <w:iCs w:val="false"/>
          <w:color w:val="000000"/>
          <w:sz w:val="20"/>
          <w:szCs w:val="20"/>
        </w:rPr>
        <w:t xml:space="preserve">Nous considérerons comme confidentielles toutes les informations que vous nous confiez, ainsi que toutes les informations en rapport avec les projets nous incombant. Nous ne divulguerons pas les informations confidentielles à un tiers, sauf si vous y consentez par écrit au préalable ou si cela est nécessaire dans le cadre de notre prestation de services, ou dans la mesure où la loi l'exige.</w:t>
      </w:r>
    </w:p>
    <w:p>
      <w:pPr>
        <w:keepNext w:val="false"/>
        <w:spacing w:after="120"/>
        <w:jc w:val="both"/>
      </w:pPr>
      <w:r>
        <w:rPr>
          <w:rFonts w:ascii="Arial" w:cs="Arial" w:eastAsia="Arial" w:hAnsi="Arial"/>
          <w:b/>
          <w:bCs/>
          <w:i w:val="false"/>
          <w:iCs w:val="false"/>
          <w:color w:val="EA4E00"/>
          <w:sz w:val="22"/>
          <w:szCs w:val="22"/>
        </w:rPr>
        <w:t xml:space="preserve">8. INSTRUCTIONS DU CLIENT</w:t>
      </w:r>
    </w:p>
    <w:p>
      <w:pPr>
        <w:keepNext w:val="false"/>
        <w:spacing w:after="120"/>
        <w:jc w:val="both"/>
      </w:pPr>
      <w:r>
        <w:rPr>
          <w:rFonts w:ascii="Arial" w:cs="Arial" w:eastAsia="Arial" w:hAnsi="Arial"/>
          <w:b w:val="false"/>
          <w:bCs w:val="false"/>
          <w:i w:val="false"/>
          <w:iCs w:val="false"/>
          <w:color w:val="000000"/>
          <w:sz w:val="20"/>
          <w:szCs w:val="20"/>
        </w:rPr>
        <w:t xml:space="preserve">Vous acceptez de veiller à ce que nous ayons connaissance de tous les éléments de votre projet, de nous communiquer vos instructions en temps opportun et de manière précise, de nous informer rapidement de tout changement de situation influant sur votre projet, et de répondre rapidement à nos demandes d'instruction. Vous convenez que nous n'aurons qu'un seul interlocuteur au sein de votre organisation qui jouera le rôle de point de contact central.</w:t>
      </w:r>
    </w:p>
    <w:p>
      <w:pPr>
        <w:keepNext w:val="false"/>
        <w:spacing w:after="120"/>
        <w:jc w:val="both"/>
      </w:pPr>
      <w:r>
        <w:rPr>
          <w:rFonts w:ascii="Arial" w:cs="Arial" w:eastAsia="Arial" w:hAnsi="Arial"/>
          <w:b/>
          <w:bCs/>
          <w:i w:val="false"/>
          <w:iCs w:val="false"/>
          <w:color w:val="EA4E00"/>
          <w:sz w:val="22"/>
          <w:szCs w:val="22"/>
        </w:rPr>
        <w:t xml:space="preserve">9. PROTECTION DES DONNÉES</w:t>
      </w:r>
    </w:p>
    <w:p>
      <w:pPr>
        <w:keepNext w:val="false"/>
        <w:spacing w:after="120"/>
        <w:jc w:val="both"/>
      </w:pPr>
      <w:r>
        <w:rPr>
          <w:rFonts w:ascii="Arial" w:cs="Arial" w:eastAsia="Arial" w:hAnsi="Arial"/>
          <w:b w:val="false"/>
          <w:bCs w:val="false"/>
          <w:i w:val="false"/>
          <w:iCs w:val="false"/>
          <w:color w:val="000000"/>
          <w:sz w:val="20"/>
          <w:szCs w:val="20"/>
        </w:rPr>
        <w:t xml:space="preserve">Nous traiterons les données personnelles que vous nous confiez aux fins suivantes : (i) exécuter le travail conformément à vos instructions, (ii) fournir des instructions aux personnes travaillant pour vous, (iii) respecter nos obligations légales et professionnelles, et (iv) maintenir et utiliser nos bases de données de clients/contacts.</w:t>
      </w:r>
    </w:p>
    <w:p>
      <w:pPr>
        <w:keepNext w:val="false"/>
        <w:spacing w:after="120"/>
        <w:jc w:val="both"/>
      </w:pPr>
      <w:r>
        <w:rPr>
          <w:rFonts w:ascii="Arial" w:cs="Arial" w:eastAsia="Arial" w:hAnsi="Arial"/>
          <w:b/>
          <w:bCs/>
          <w:i w:val="false"/>
          <w:iCs w:val="false"/>
          <w:color w:val="EA4E00"/>
          <w:sz w:val="22"/>
          <w:szCs w:val="22"/>
        </w:rPr>
        <w:t xml:space="preserve">10. FICHIERS, DOCUMENTS ET DONNÉES ÉLECTRONIQUES</w:t>
      </w:r>
    </w:p>
    <w:p>
      <w:pPr>
        <w:keepNext w:val="false"/>
        <w:spacing w:after="120"/>
        <w:jc w:val="both"/>
      </w:pPr>
      <w:r>
        <w:rPr>
          <w:rFonts w:ascii="Arial" w:cs="Arial" w:eastAsia="Arial" w:hAnsi="Arial"/>
          <w:b w:val="false"/>
          <w:bCs w:val="false"/>
          <w:i w:val="false"/>
          <w:iCs w:val="false"/>
          <w:color w:val="000000"/>
          <w:sz w:val="20"/>
          <w:szCs w:val="20"/>
        </w:rPr>
        <w:t xml:space="preserve">Nous pourrons conserver des fichiers et autres documents en rapport avec vos projets au format électronique ou en version papier. Nous avons instauré des mesures de sécurité visant à garantir le respect de nos obligations de confidentialité. Vous pouvez nous demander de vous envoyer les fichiers et documents en rapport avec votre projet. Nous nous réservons le droit de conserver des copies pour nos propres archives.</w:t>
      </w:r>
    </w:p>
    <w:p>
      <w:pPr>
        <w:keepNext w:val="false"/>
        <w:spacing w:after="120"/>
        <w:jc w:val="both"/>
      </w:pPr>
      <w:r>
        <w:rPr>
          <w:rFonts w:ascii="Arial" w:cs="Arial" w:eastAsia="Arial" w:hAnsi="Arial"/>
          <w:b/>
          <w:bCs/>
          <w:i w:val="false"/>
          <w:iCs w:val="false"/>
          <w:color w:val="EA4E00"/>
          <w:sz w:val="22"/>
          <w:szCs w:val="22"/>
        </w:rPr>
        <w:t xml:space="preserve">11. PROPRIÉTÉ INTELLECTUELLE</w:t>
      </w:r>
    </w:p>
    <w:p>
      <w:pPr>
        <w:keepNext w:val="false"/>
        <w:spacing w:after="120"/>
        <w:jc w:val="both"/>
      </w:pPr>
      <w:r>
        <w:rPr>
          <w:rFonts w:ascii="Arial" w:cs="Arial" w:eastAsia="Arial" w:hAnsi="Arial"/>
          <w:b w:val="false"/>
          <w:bCs w:val="false"/>
          <w:i w:val="false"/>
          <w:iCs w:val="false"/>
          <w:color w:val="000000"/>
          <w:sz w:val="20"/>
          <w:szCs w:val="20"/>
        </w:rPr>
        <w:t xml:space="preserve">11.1 Nous conservons les droits d'auteur sur tout document ou outil de travail que nous avons préparé pour vous, sauf accord spécifique contraire.</w:t>
      </w:r>
    </w:p>
    <w:p>
      <w:pPr>
        <w:keepNext w:val="false"/>
        <w:spacing w:after="120"/>
        <w:jc w:val="both"/>
      </w:pPr>
      <w:r>
        <w:rPr>
          <w:rFonts w:ascii="Arial" w:cs="Arial" w:eastAsia="Arial" w:hAnsi="Arial"/>
          <w:b w:val="false"/>
          <w:bCs w:val="false"/>
          <w:i w:val="false"/>
          <w:iCs w:val="false"/>
          <w:color w:val="000000"/>
          <w:sz w:val="20"/>
          <w:szCs w:val="20"/>
        </w:rPr>
        <w:t xml:space="preserve">11.2 Nous vous accordons une licence non exclusive sans droits d'auteur, vous autorisant à utiliser les documents uniquement dans le cadre du projet pour lequel ils ont été élaborés ou produits.</w:t>
      </w:r>
    </w:p>
    <w:p>
      <w:pPr>
        <w:keepNext w:val="false"/>
        <w:spacing w:after="120"/>
        <w:jc w:val="both"/>
      </w:pPr>
      <w:r>
        <w:rPr>
          <w:rFonts w:ascii="Arial" w:cs="Arial" w:eastAsia="Arial" w:hAnsi="Arial"/>
          <w:b/>
          <w:bCs/>
          <w:i w:val="false"/>
          <w:iCs w:val="false"/>
          <w:color w:val="EA4E00"/>
          <w:sz w:val="22"/>
          <w:szCs w:val="22"/>
        </w:rPr>
        <w:t xml:space="preserve">12. RESPONSABILITÉ</w:t>
      </w:r>
    </w:p>
    <w:p>
      <w:pPr>
        <w:keepNext w:val="false"/>
        <w:spacing w:after="120"/>
        <w:jc w:val="both"/>
      </w:pPr>
      <w:r>
        <w:rPr>
          <w:rFonts w:ascii="Arial" w:cs="Arial" w:eastAsia="Arial" w:hAnsi="Arial"/>
          <w:b w:val="false"/>
          <w:bCs w:val="false"/>
          <w:i w:val="false"/>
          <w:iCs w:val="false"/>
          <w:color w:val="000000"/>
          <w:sz w:val="20"/>
          <w:szCs w:val="20"/>
        </w:rPr>
        <w:t xml:space="preserve">12.1 Pendant la période où ce contrat est en vigueur, nous souscrirons une assurance accidents du travail et une assurance de responsabilité civile.</w:t>
      </w:r>
    </w:p>
    <w:p>
      <w:pPr>
        <w:keepNext w:val="false"/>
        <w:spacing w:after="120"/>
        <w:jc w:val="both"/>
      </w:pPr>
      <w:r>
        <w:rPr>
          <w:rFonts w:ascii="Arial" w:cs="Arial" w:eastAsia="Arial" w:hAnsi="Arial"/>
          <w:b w:val="false"/>
          <w:bCs w:val="false"/>
          <w:i w:val="false"/>
          <w:iCs w:val="false"/>
          <w:color w:val="000000"/>
          <w:sz w:val="20"/>
          <w:szCs w:val="20"/>
        </w:rPr>
        <w:t xml:space="preserve">12.2 La portée de notre travail ne comprendra pas de conseils sur les répercussions commerciales d'un projet, sur des problèmes financiers ou comptables.</w:t>
      </w:r>
    </w:p>
    <w:p>
      <w:pPr>
        <w:keepNext w:val="false"/>
        <w:spacing w:after="120"/>
        <w:jc w:val="both"/>
      </w:pPr>
      <w:r>
        <w:rPr>
          <w:rFonts w:ascii="Arial" w:cs="Arial" w:eastAsia="Arial" w:hAnsi="Arial"/>
          <w:b w:val="false"/>
          <w:bCs w:val="false"/>
          <w:i w:val="false"/>
          <w:iCs w:val="false"/>
          <w:color w:val="000000"/>
          <w:sz w:val="20"/>
          <w:szCs w:val="20"/>
        </w:rPr>
        <w:t xml:space="preserve">12.3 Notre conseil est spécifique à votre situation. Nous nous dégageons de toute responsabilité vis-à-vis de toute personne à qui notre conseil ne s'adresse pas.</w:t>
      </w:r>
    </w:p>
    <w:p>
      <w:pPr>
        <w:keepNext w:val="false"/>
        <w:spacing w:after="120"/>
        <w:jc w:val="both"/>
      </w:pPr>
      <w:r>
        <w:rPr>
          <w:rFonts w:ascii="Arial" w:cs="Arial" w:eastAsia="Arial" w:hAnsi="Arial"/>
          <w:b/>
          <w:bCs/>
          <w:i w:val="false"/>
          <w:iCs w:val="false"/>
          <w:color w:val="EA4E00"/>
          <w:sz w:val="22"/>
          <w:szCs w:val="22"/>
        </w:rPr>
        <w:t xml:space="preserve">13. PROCÉDURE DE PLAINTE</w:t>
      </w:r>
    </w:p>
    <w:p>
      <w:pPr>
        <w:keepNext w:val="false"/>
        <w:spacing w:after="120"/>
        <w:jc w:val="both"/>
      </w:pPr>
      <w:r>
        <w:rPr>
          <w:rFonts w:ascii="Arial" w:cs="Arial" w:eastAsia="Arial" w:hAnsi="Arial"/>
          <w:b w:val="false"/>
          <w:bCs w:val="false"/>
          <w:i w:val="false"/>
          <w:iCs w:val="false"/>
          <w:color w:val="000000"/>
          <w:sz w:val="20"/>
          <w:szCs w:val="20"/>
        </w:rPr>
        <w:t xml:space="preserve">13.1 Le bureau d'études s'engage à fournir un service de haute qualité. Tous les litiges auxquels le marché pourra donner lieu seront, dans toute la mesure du possible, résolus amiablement, et éventuellement par voie d'arbitrage. Les litiges sont portés devant les tribunaux de Saint-Denis La Réunion. Le droit applicable est le droit français.</w:t>
      </w:r>
    </w:p>
    <w:p>
      <w:pPr>
        <w:keepNext w:val="false"/>
        <w:spacing w:after="120"/>
        <w:jc w:val="both"/>
      </w:pPr>
      <w:r>
        <w:rPr>
          <w:rFonts w:ascii="Arial" w:cs="Arial" w:eastAsia="Arial" w:hAnsi="Arial"/>
          <w:b w:val="false"/>
          <w:bCs w:val="false"/>
          <w:i w:val="false"/>
          <w:iCs w:val="false"/>
          <w:color w:val="000000"/>
          <w:sz w:val="20"/>
          <w:szCs w:val="20"/>
        </w:rPr>
        <w:t xml:space="preserve">13.2 En cas de demande ou de plainte concernant notre service, veuillez contacter sans délai le consultant responsable mentionné dans le contrat.</w:t>
      </w:r>
    </w:p>
    <w:p>
      <w:pPr>
        <w:keepNext w:val="false"/>
        <w:spacing w:after="120"/>
        <w:jc w:val="both"/>
      </w:pPr>
      <w:r>
        <w:rPr>
          <w:rFonts w:ascii="Arial" w:cs="Arial" w:eastAsia="Arial" w:hAnsi="Arial"/>
          <w:b/>
          <w:bCs/>
          <w:i w:val="false"/>
          <w:iCs w:val="false"/>
          <w:color w:val="EA4E00"/>
          <w:sz w:val="22"/>
          <w:szCs w:val="22"/>
        </w:rPr>
        <w:t xml:space="preserve">14. RÉSILIATION</w:t>
      </w:r>
    </w:p>
    <w:p>
      <w:pPr>
        <w:keepNext w:val="false"/>
        <w:spacing w:after="120"/>
        <w:jc w:val="both"/>
      </w:pPr>
      <w:r>
        <w:rPr>
          <w:rFonts w:ascii="Arial" w:cs="Arial" w:eastAsia="Arial" w:hAnsi="Arial"/>
          <w:b w:val="false"/>
          <w:bCs w:val="false"/>
          <w:i w:val="false"/>
          <w:iCs w:val="false"/>
          <w:color w:val="000000"/>
          <w:sz w:val="20"/>
          <w:szCs w:val="20"/>
        </w:rPr>
        <w:t xml:space="preserve">14.1 Vous pouvez résilier vos instructions à n'importe quel moment en nous en informant par écrit. Nous ne cesserons de travailler pour vous que si vous n'avez pas réglé une facture après un mois, si vous ne satisfaites pas à notre demande de régler nos honoraires, ou si nous ne pouvons pas obtenir d'instructions claires de votre part.</w:t>
      </w:r>
    </w:p>
    <w:p>
      <w:pPr>
        <w:keepNext w:val="false"/>
        <w:spacing w:after="120"/>
        <w:jc w:val="both"/>
      </w:pPr>
      <w:r>
        <w:rPr>
          <w:rFonts w:ascii="Arial" w:cs="Arial" w:eastAsia="Arial" w:hAnsi="Arial"/>
          <w:b w:val="false"/>
          <w:bCs w:val="false"/>
          <w:i w:val="false"/>
          <w:iCs w:val="false"/>
          <w:color w:val="000000"/>
          <w:sz w:val="20"/>
          <w:szCs w:val="20"/>
        </w:rPr>
        <w:t xml:space="preserve">14.2 La résiliation n'altèrera pas notre droit à obtenir le règlement du travail effectué jusqu'à la date de résiliation.</w:t>
      </w:r>
    </w:p>
    <w:p>
      <w:pPr>
        <w:keepNext w:val="false"/>
        <w:spacing w:after="120"/>
        <w:jc w:val="both"/>
      </w:pPr>
      <w:r>
        <w:rPr>
          <w:rFonts w:ascii="Arial" w:cs="Arial" w:eastAsia="Arial" w:hAnsi="Arial"/>
          <w:b/>
          <w:bCs/>
          <w:i w:val="false"/>
          <w:iCs w:val="false"/>
          <w:color w:val="EA4E00"/>
          <w:sz w:val="22"/>
          <w:szCs w:val="22"/>
        </w:rPr>
        <w:t xml:space="preserve">15. GÉNÉRALITÉS</w:t>
      </w:r>
    </w:p>
    <w:p>
      <w:pPr>
        <w:keepNext w:val="false"/>
        <w:spacing w:after="120"/>
        <w:jc w:val="both"/>
      </w:pPr>
      <w:r>
        <w:rPr>
          <w:rFonts w:ascii="Arial" w:cs="Arial" w:eastAsia="Arial" w:hAnsi="Arial"/>
          <w:b w:val="false"/>
          <w:bCs w:val="false"/>
          <w:i w:val="false"/>
          <w:iCs w:val="false"/>
          <w:color w:val="000000"/>
          <w:sz w:val="20"/>
          <w:szCs w:val="20"/>
        </w:rPr>
        <w:t xml:space="preserve">15.1 Les présentes conditions générales, de même que nos services, sont régis par le droit français et vous comme nous sommes irrévocablement assujettis à la compétence des tribunaux français.</w:t>
      </w:r>
    </w:p>
    <w:p>
      <w:pPr>
        <w:keepNext w:val="false"/>
        <w:spacing w:after="120"/>
        <w:jc w:val="both"/>
      </w:pPr>
      <w:r>
        <w:rPr>
          <w:rFonts w:ascii="Arial" w:cs="Arial" w:eastAsia="Arial" w:hAnsi="Arial"/>
          <w:b w:val="false"/>
          <w:bCs w:val="false"/>
          <w:i w:val="false"/>
          <w:iCs w:val="false"/>
          <w:color w:val="000000"/>
          <w:sz w:val="20"/>
          <w:szCs w:val="20"/>
        </w:rPr>
        <w:t xml:space="preserve">15.2 La mention « vous » ou notre « client » renvoie à nos clients, tels qu'identifiés dans la lettre que nous vous avons adressée ou dans toute autre communication écrite.</w:t>
      </w:r>
    </w:p>
    <w:p>
      <w:pPr>
        <w:keepNext w:val="false"/>
        <w:spacing w:after="120"/>
        <w:jc w:val="both"/>
      </w:pPr>
      <w:r>
        <w:rPr>
          <w:rFonts w:ascii="Arial" w:cs="Arial" w:eastAsia="Arial" w:hAnsi="Arial"/>
          <w:b w:val="false"/>
          <w:bCs w:val="false"/>
          <w:i w:val="false"/>
          <w:iCs w:val="false"/>
          <w:color w:val="000000"/>
          <w:sz w:val="20"/>
          <w:szCs w:val="20"/>
        </w:rPr>
        <w:t xml:space="preserve">15.3 Si l'une des dispositions des présentes conditions est considérée nulle ou inapplicable, l'intégralité des autres dispositions restera en vigueur et de plein effet.</w:t>
      </w:r>
    </w:p>
    <w:sectPr>
      <w:headerReference w:type="default" r:id="rId7"/>
      <w:footerReference w:type="default" r:id="rId8"/>
      <w:pgSz w:w="11906" w:h="16838" w:orient="portrait"/>
      <w:pgMar w:top="1700" w:right="1440"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E9DAE" w:sz="6" w:space="0"/>
      </w:pBdr>
      <w:tabs>
        <w:tab w:val="center" w:pos="4500"/>
        <w:tab w:val="right" w:pos="9026"/>
      </w:tabs>
      <w:spacing w:before="80"/>
    </w:pPr>
    <w:r>
      <w:rPr>
        <w:rFonts w:ascii="Arial" w:cs="Arial" w:eastAsia="Arial" w:hAnsi="Arial"/>
        <w:color w:val="8E9DAE"/>
        <w:sz w:val="16"/>
        <w:szCs w:val="16"/>
      </w:rPr>
      <w:t xml:space="preserve">LVO-INGENIERIE — LVO-CTQ-26102 — Offre de Service — Immeuble Le Barachois</w:t>
      <w:tab/>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3500"/>
          <w:vAlign w:val="center"/>
        </w:tcPr>
        <w:p>
          <w:r>
            <w:drawing>
              <wp:inline distT="0" distB="0" distL="0" distR="0">
                <wp:extent cx="1428750" cy="71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714375"/>
                        </a:xfrm>
                        <a:prstGeom prst="rect">
                          <a:avLst/>
                        </a:prstGeom>
                      </pic:spPr>
                    </pic:pic>
                  </a:graphicData>
                </a:graphic>
              </wp:inline>
            </w:drawing>
          </w:r>
        </w:p>
      </w:tc>
      <w:tc>
        <w:tcPr>
          <w:tcW w:type="dxa" w:w="5526"/>
          <w:vAlign w:val="center"/>
        </w:tcPr>
        <w:p>
          <w:pPr>
            <w:jc w:val="right"/>
          </w:pPr>
          <w:r>
            <w:rPr>
              <w:rFonts w:ascii="Arial" w:cs="Arial" w:eastAsia="Arial" w:hAnsi="Arial"/>
              <w:color w:val="8E9DAE"/>
              <w:sz w:val="16"/>
              <w:szCs w:val="16"/>
            </w:rPr>
            <w:t xml:space="preserve">Centre d'affaires CADJEE — 62 Bd du Chaudron</w:t>
          </w:r>
        </w:p>
        <w:p>
          <w:pPr>
            <w:jc w:val="right"/>
          </w:pPr>
          <w:r>
            <w:rPr>
              <w:rFonts w:ascii="Arial" w:cs="Arial" w:eastAsia="Arial" w:hAnsi="Arial"/>
              <w:color w:val="8E9DAE"/>
              <w:sz w:val="16"/>
              <w:szCs w:val="16"/>
            </w:rPr>
            <w:t xml:space="preserve">97491 Saint-Denis La Réunion  |  Tél : 06 92 05 39 52</w:t>
          </w:r>
        </w:p>
        <w:p>
          <w:pPr>
            <w:jc w:val="right"/>
          </w:pPr>
          <w:r>
            <w:rPr>
              <w:rFonts w:ascii="Arial" w:cs="Arial" w:eastAsia="Arial" w:hAnsi="Arial"/>
              <w:color w:val="FF6B00"/>
              <w:sz w:val="16"/>
              <w:szCs w:val="16"/>
            </w:rPr>
            <w:t xml:space="preserve">hatem.lembarki@lvo-ing.com</w:t>
          </w:r>
        </w:p>
      </w:tc>
    </w:tr>
  </w:tbl>
  <w:p>
    <w:pPr>
      <w:pBdr>
        <w:bottom w:val="single" w:color="1A2B4C" w:sz="12" w:space="0"/>
      </w:pBdr>
      <w:spacing w:after="80" w:before="8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25d65ead14db9d627431505d4a3f03582223e9e.jpg"/><Relationship Id="rId10" Type="http://schemas.openxmlformats.org/officeDocument/2006/relationships/image" Target="media/40a0260124f9fa3b7ed1a57f9fbe08f5184c3cd4.jp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025d65ead14db9d627431505d4a3f03582223e9e.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2026-09-25T13:23:59.348Z</dcterms:created>
  <dcterms:modified xsi:type="dcterms:W3CDTF">2026-09-25T13:23:59.348Z</dcterms:modified>
</cp:coreProperties>
</file>

<file path=docProps/custom.xml><?xml version="1.0" encoding="utf-8"?>
<Properties xmlns="http://schemas.openxmlformats.org/officeDocument/2006/custom-properties" xmlns:vt="http://schemas.openxmlformats.org/officeDocument/2006/docPropsVTypes"/>
</file>