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C" w:val="clear"/>
      </w:pPr>
      <w:r>
        <w:rPr>
          <w:rFonts w:ascii="Arial" w:cs="Arial" w:eastAsia="Arial" w:hAnsi="Arial"/>
          <w:sz w:val="4"/>
          <w:szCs w:val="4"/>
        </w:rPr>
        <w:t xml:space="preserve"> </w:t>
      </w:r>
    </w:p>
    <w:p>
      <w:pPr>
        <w:keepNext w:val="false"/>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52500"/>
                    </a:xfrm>
                    <a:prstGeom prst="rect">
                      <a:avLst/>
                    </a:prstGeom>
                  </pic:spPr>
                </pic:pic>
              </a:graphicData>
            </a:graphic>
          </wp:inline>
        </w:drawing>
      </w:r>
    </w:p>
    <w:p/>
    <w:p>
      <w:pPr>
        <w:keepNext w:val="false"/>
        <w:spacing w:after="120"/>
        <w:jc w:val="center"/>
      </w:pPr>
      <w:r>
        <w:rPr>
          <w:rFonts w:ascii="Arial" w:cs="Arial" w:eastAsia="Arial" w:hAnsi="Arial"/>
          <w:b w:val="false"/>
          <w:bCs w:val="false"/>
          <w:i w:val="false"/>
          <w:iCs w:val="false"/>
          <w:color w:val="8E9DAE"/>
          <w:sz w:val="22"/>
          <w:szCs w:val="22"/>
        </w:rPr>
        <w:t xml:space="preserve">Experts spécialisés en Études et Conseils Ascenseurs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6"/>
              <w:left w:val="single" w:color="FF6B00" w:sz="6"/>
              <w:bottom w:val="single" w:color="FF6B00" w:sz="6"/>
              <w:right w:val="single" w:color="FF6B00" w:sz="6"/>
            </w:tcBorders>
            <w:shd w:fill="FF6B0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OFFRE DE SERVICE</w:t>
            </w:r>
            <w:r>
              <w:br/>
              <w:t xml:space="preserve"/>
            </w:r>
            <w:r>
              <w:rPr>
                <w:rFonts w:ascii="Arial" w:cs="Arial" w:eastAsia="Arial" w:hAnsi="Arial"/>
                <w:b w:val="false"/>
                <w:bCs w:val="false"/>
                <w:color w:val="FFFFFF"/>
                <w:sz w:val="22"/>
                <w:szCs w:val="22"/>
              </w:rPr>
              <w:t xml:space="preserve">Mission Bureau d'Études Ascenseurs</w:t>
            </w:r>
            <w:r>
              <w:br/>
              <w:t xml:space="preserve"/>
            </w:r>
            <w:r>
              <w:rPr>
                <w:rFonts w:ascii="Arial" w:cs="Arial" w:eastAsia="Arial" w:hAnsi="Arial"/>
                <w:b/>
                <w:bCs/>
                <w:color w:val="FFFFFF"/>
                <w:sz w:val="22"/>
                <w:szCs w:val="22"/>
              </w:rPr>
              <w:t xml:space="preserve">Maintenance Management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2B4C" w:sz="6"/>
              <w:left w:val="single" w:color="1A2B4C" w:sz="6"/>
              <w:bottom w:val="single" w:color="1A2B4C" w:sz="6"/>
              <w:right w:val="single" w:color="1A2B4C" w:sz="6"/>
            </w:tcBorders>
            <w:shd w:fill="E8EDF4" w:val="clear"/>
            <w:tcMar>
              <w:top w:type="dxa" w:w="220"/>
              <w:left w:type="dxa" w:w="300"/>
              <w:bottom w:type="dxa" w:w="220"/>
              <w:right w:type="dxa" w:w="300"/>
            </w:tcMar>
          </w:tcPr>
          <w:p>
            <w:pPr>
              <w:jc w:val="center"/>
            </w:pPr>
            <w:r>
              <w:rPr>
                <w:rFonts w:ascii="Arial" w:cs="Arial" w:eastAsia="Arial" w:hAnsi="Arial"/>
                <w:b/>
                <w:bCs/>
                <w:color w:val="8E9DAE"/>
                <w:sz w:val="18"/>
                <w:szCs w:val="18"/>
              </w:rPr>
              <w:t xml:space="preserve">SITE</w:t>
            </w:r>
            <w:r>
              <w:br/>
              <w:t xml:space="preserve"/>
            </w:r>
            <w:r>
              <w:rPr>
                <w:rFonts w:ascii="Arial" w:cs="Arial" w:eastAsia="Arial" w:hAnsi="Arial"/>
                <w:b/>
                <w:bCs/>
                <w:color w:val="1A2B4C"/>
                <w:sz w:val="32"/>
                <w:szCs w:val="32"/>
              </w:rPr>
              <w:t xml:space="preserve">Centre administratif du Port</w:t>
            </w:r>
            <w:r>
              <w:br/>
              <w:t xml:space="preserve"/>
            </w:r>
            <w:r>
              <w:rPr>
                <w:rFonts w:ascii="Arial" w:cs="Arial" w:eastAsia="Arial" w:hAnsi="Arial"/>
                <w:b w:val="false"/>
                <w:bCs w:val="false"/>
                <w:color w:val="8E9DAE"/>
                <w:sz w:val="22"/>
                <w:szCs w:val="22"/>
              </w:rPr>
              <w:t xml:space="preserve">20 avenue du 14 Juillet 1789, 97420 Le Port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val="false"/>
                <w:bCs w:val="false"/>
                <w:color w:val="333333"/>
                <w:sz w:val="20"/>
                <w:szCs w:val="20"/>
              </w:rPr>
              <w:t xml:space="preserve">[Photo du site — À COMPLÉTER]</w:t>
            </w:r>
          </w:p>
        </w:tc>
      </w:tr>
    </w:tbl>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551"/>
        <w:gridCol w:w="6787"/>
      </w:tblGrid>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POUR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Commune du Port</w:t>
            </w:r>
            <w:r>
              <w:br/>
              <w:t xml:space="preserve"/>
            </w:r>
            <w:r>
              <w:rPr>
                <w:rFonts w:ascii="Arial" w:cs="Arial" w:eastAsia="Arial" w:hAnsi="Arial"/>
                <w:b w:val="false"/>
                <w:bCs w:val="false"/>
                <w:color w:val="333333"/>
                <w:sz w:val="19"/>
                <w:szCs w:val="19"/>
              </w:rPr>
              <w:t xml:space="preserve">Direction des Services Techniques</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REPRÉSENTÉ PAR</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 Laurent FONTAINE (Directeur des services techniques)</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DOSSIER ÉTABLI PAR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Hatem LEMBARKI</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21 septembre 2026</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RÉFÉRENCE</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LVO-MM-26103</w:t>
            </w:r>
          </w:p>
        </w:tc>
      </w:tr>
    </w:tbl>
    <w:p>
      <w:pPr>
        <w:sectPr>
          <w:pgSz w:w="11906" w:h="16838" w:orient="portrait"/>
          <w:pgMar w:top="1440" w:right="1440" w:bottom="993" w:left="1440" w:header="708" w:footer="708" w:gutter="0"/>
          <w:pgNumType/>
          <w:docGrid w:linePitch="360"/>
        </w:sectPr>
      </w:pPr>
    </w:p>
    <w:p>
      <w:pPr>
        <w:keepNext w:val="false"/>
        <w:spacing w:after="120"/>
        <w:jc w:val="both"/>
      </w:pPr>
      <w:r>
        <w:rPr>
          <w:rFonts w:ascii="Arial" w:cs="Arial" w:eastAsia="Arial" w:hAnsi="Arial"/>
          <w:b w:val="false"/>
          <w:bCs w:val="false"/>
          <w:i w:val="false"/>
          <w:iCs w:val="false"/>
          <w:color w:val="000000"/>
          <w:sz w:val="20"/>
          <w:szCs w:val="20"/>
        </w:rPr>
        <w:t xml:space="preserve">Saint-Denis, le 21 septembre 2026</w:t>
      </w:r>
    </w:p>
    <w:p/>
    <w:p>
      <w:pPr>
        <w:keepNext w:val="false"/>
        <w:spacing w:after="120"/>
        <w:jc w:val="both"/>
      </w:pPr>
      <w:r>
        <w:rPr>
          <w:rFonts w:ascii="Arial" w:cs="Arial" w:eastAsia="Arial" w:hAnsi="Arial"/>
          <w:b/>
          <w:bCs/>
          <w:i w:val="false"/>
          <w:iCs w:val="false"/>
          <w:color w:val="000000"/>
          <w:sz w:val="20"/>
          <w:szCs w:val="20"/>
        </w:rPr>
        <w:t xml:space="preserve">Commune du Port</w:t>
      </w:r>
    </w:p>
    <w:p>
      <w:pPr>
        <w:keepNext w:val="false"/>
        <w:spacing w:after="120"/>
        <w:jc w:val="both"/>
      </w:pPr>
      <w:r>
        <w:rPr>
          <w:rFonts w:ascii="Arial" w:cs="Arial" w:eastAsia="Arial" w:hAnsi="Arial"/>
          <w:b w:val="false"/>
          <w:bCs w:val="false"/>
          <w:i w:val="false"/>
          <w:iCs w:val="false"/>
          <w:color w:val="000000"/>
          <w:sz w:val="20"/>
          <w:szCs w:val="20"/>
        </w:rPr>
        <w:t xml:space="preserve">Direction des Services Techniques</w:t>
      </w:r>
    </w:p>
    <w:p/>
    <w:p>
      <w:pPr>
        <w:keepNext w:val="false"/>
        <w:spacing w:after="120"/>
        <w:jc w:val="both"/>
      </w:pPr>
      <w:r>
        <w:rPr>
          <w:rFonts w:ascii="Arial" w:cs="Arial" w:eastAsia="Arial" w:hAnsi="Arial"/>
          <w:b w:val="false"/>
          <w:bCs w:val="false"/>
          <w:i w:val="false"/>
          <w:iCs w:val="false"/>
          <w:color w:val="333333"/>
          <w:sz w:val="20"/>
          <w:szCs w:val="20"/>
        </w:rPr>
        <w:t xml:space="preserve">À l'attention de M. Laurent FONTAINE (Directeur des services techniques)</w:t>
      </w:r>
    </w:p>
    <w:p/>
    <w:p>
      <w:pPr>
        <w:keepNext w:val="false"/>
        <w:spacing w:after="120"/>
        <w:jc w:val="both"/>
      </w:pPr>
      <w:r>
        <w:rPr>
          <w:rFonts w:ascii="Arial" w:cs="Arial" w:eastAsia="Arial" w:hAnsi="Arial"/>
          <w:b/>
          <w:bCs/>
          <w:i w:val="false"/>
          <w:iCs w:val="false"/>
          <w:color w:val="000000"/>
          <w:sz w:val="20"/>
          <w:szCs w:val="20"/>
        </w:rPr>
        <w:t xml:space="preserve">Réf : LVO-MM-26103</w:t>
      </w:r>
    </w:p>
    <w:p>
      <w:pPr>
        <w:keepNext w:val="false"/>
        <w:spacing w:after="120"/>
        <w:jc w:val="both"/>
      </w:pPr>
      <w:r>
        <w:rPr>
          <w:rFonts w:ascii="Arial" w:cs="Arial" w:eastAsia="Arial" w:hAnsi="Arial"/>
          <w:b/>
          <w:bCs/>
          <w:i w:val="false"/>
          <w:iCs w:val="false"/>
          <w:color w:val="000000"/>
          <w:sz w:val="20"/>
          <w:szCs w:val="20"/>
        </w:rPr>
        <w:t xml:space="preserve">Objet : Centre administratif du Port - 20 avenue du 14 Juillet 1789, 97420 Le Port</w:t>
      </w:r>
    </w:p>
    <w:p/>
    <w:p>
      <w:pPr>
        <w:keepNext w:val="false"/>
        <w:spacing w:after="120"/>
        <w:jc w:val="both"/>
      </w:pPr>
      <w:r>
        <w:rPr>
          <w:rFonts w:ascii="Arial" w:cs="Arial" w:eastAsia="Arial" w:hAnsi="Arial"/>
          <w:b/>
          <w:bCs/>
          <w:i w:val="false"/>
          <w:iCs w:val="false"/>
          <w:color w:val="000000"/>
          <w:sz w:val="20"/>
          <w:szCs w:val="20"/>
        </w:rPr>
        <w:t xml:space="preserve">Mission :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Monsieur,</w:t>
      </w:r>
    </w:p>
    <w:p/>
    <w:p>
      <w:pPr>
        <w:keepNext w:val="false"/>
        <w:spacing w:after="120"/>
        <w:jc w:val="both"/>
      </w:pPr>
      <w:r>
        <w:rPr>
          <w:rFonts w:ascii="Arial" w:cs="Arial" w:eastAsia="Arial" w:hAnsi="Arial"/>
          <w:b w:val="false"/>
          <w:bCs w:val="false"/>
          <w:i w:val="false"/>
          <w:iCs w:val="false"/>
          <w:color w:val="000000"/>
          <w:sz w:val="20"/>
          <w:szCs w:val="20"/>
        </w:rPr>
        <w:t xml:space="preserve">Nous avons le plaisir de vous communiquer, ci-joint, notre meilleure proposition d'honoraires pour vous conseiller et vous assister en tant que BET Transports mécaniques dans le cadre de ce projet.</w:t>
      </w:r>
    </w:p>
    <w:p/>
    <w:p>
      <w:pPr>
        <w:keepNext w:val="false"/>
        <w:spacing w:after="120"/>
        <w:jc w:val="both"/>
      </w:pPr>
      <w:r>
        <w:rPr>
          <w:rFonts w:ascii="Arial" w:cs="Arial" w:eastAsia="Arial" w:hAnsi="Arial"/>
          <w:b w:val="false"/>
          <w:bCs w:val="false"/>
          <w:i w:val="false"/>
          <w:iCs w:val="false"/>
          <w:color w:val="000000"/>
          <w:sz w:val="20"/>
          <w:szCs w:val="20"/>
        </w:rPr>
        <w:t xml:space="preserve">LVO-INGENIERIE offre à ses clients une expertise de conseil spécialisée dans le domaine du transport vertical des biens et des personnes. Nos consultants expérimentés sont spécialisés dans les disciplines suivantes :</w:t>
      </w:r>
    </w:p>
    <w:p/>
    <w:p>
      <w:pPr>
        <w:spacing w:after="60"/>
        <w:ind w:left="360"/>
      </w:pPr>
      <w:r>
        <w:rPr>
          <w:rFonts w:ascii="Arial" w:cs="Arial" w:eastAsia="Arial" w:hAnsi="Arial"/>
          <w:sz w:val="20"/>
          <w:szCs w:val="20"/>
        </w:rPr>
        <w:t xml:space="preserve">• Transport vertical</w:t>
      </w:r>
    </w:p>
    <w:p>
      <w:pPr>
        <w:spacing w:after="60"/>
        <w:ind w:left="360"/>
      </w:pPr>
      <w:r>
        <w:rPr>
          <w:rFonts w:ascii="Arial" w:cs="Arial" w:eastAsia="Arial" w:hAnsi="Arial"/>
          <w:sz w:val="20"/>
          <w:szCs w:val="20"/>
        </w:rPr>
        <w:t xml:space="preserve">• Transport horizontal</w:t>
      </w:r>
    </w:p>
    <w:p>
      <w:pPr>
        <w:spacing w:after="60"/>
        <w:ind w:left="360"/>
      </w:pPr>
      <w:r>
        <w:rPr>
          <w:rFonts w:ascii="Arial" w:cs="Arial" w:eastAsia="Arial" w:hAnsi="Arial"/>
          <w:sz w:val="20"/>
          <w:szCs w:val="20"/>
        </w:rPr>
        <w:t xml:space="preserve">• Analyses de trafic</w:t>
      </w:r>
    </w:p>
    <w:p>
      <w:pPr>
        <w:spacing w:after="60"/>
        <w:ind w:left="360"/>
      </w:pPr>
      <w:r>
        <w:rPr>
          <w:rFonts w:ascii="Arial" w:cs="Arial" w:eastAsia="Arial" w:hAnsi="Arial"/>
          <w:sz w:val="20"/>
          <w:szCs w:val="20"/>
        </w:rPr>
        <w:t xml:space="preserve">• Gestion de projets Neufs et Modernisations</w:t>
      </w:r>
    </w:p>
    <w:p>
      <w:pPr>
        <w:spacing w:after="60"/>
        <w:ind w:left="360"/>
      </w:pPr>
      <w:r>
        <w:rPr>
          <w:rFonts w:ascii="Arial" w:cs="Arial" w:eastAsia="Arial" w:hAnsi="Arial"/>
          <w:sz w:val="20"/>
          <w:szCs w:val="20"/>
        </w:rPr>
        <w:t xml:space="preserve">•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w:t>
      </w:r>
    </w:p>
    <w:p/>
    <w:p>
      <w:pPr>
        <w:keepNext w:val="false"/>
        <w:spacing w:after="120"/>
        <w:jc w:val="both"/>
      </w:pPr>
      <w:r>
        <w:rPr>
          <w:rFonts w:ascii="Arial" w:cs="Arial" w:eastAsia="Arial" w:hAnsi="Arial"/>
          <w:b w:val="false"/>
          <w:bCs w:val="false"/>
          <w:i w:val="false"/>
          <w:iCs w:val="false"/>
          <w:color w:val="000000"/>
          <w:sz w:val="20"/>
          <w:szCs w:val="20"/>
        </w:rPr>
        <w:t xml:space="preserve">Nous espérons avoir correctement interprété vos instructions et nous nous réjouissons de cette opportunité de mettre notre expertise à votre service.</w:t>
      </w:r>
    </w:p>
    <w:p/>
    <w:p>
      <w:pPr>
        <w:keepNext w:val="false"/>
        <w:spacing w:after="120"/>
        <w:jc w:val="both"/>
      </w:pPr>
      <w:r>
        <w:rPr>
          <w:rFonts w:ascii="Arial" w:cs="Arial" w:eastAsia="Arial" w:hAnsi="Arial"/>
          <w:b w:val="false"/>
          <w:bCs w:val="false"/>
          <w:i w:val="false"/>
          <w:iCs w:val="false"/>
          <w:color w:val="000000"/>
          <w:sz w:val="20"/>
          <w:szCs w:val="20"/>
        </w:rPr>
        <w:t xml:space="preserve">Afin de formaliser notre accord, nous vous demanderons de bien vouloir nous retourner un exemplaire de notre ordre de mission signé.</w:t>
      </w:r>
    </w:p>
    <w:p/>
    <w:p>
      <w:pPr>
        <w:keepNext w:val="false"/>
        <w:spacing w:after="120"/>
        <w:jc w:val="both"/>
      </w:pPr>
      <w:r>
        <w:rPr>
          <w:rFonts w:ascii="Arial" w:cs="Arial" w:eastAsia="Arial" w:hAnsi="Arial"/>
          <w:b w:val="false"/>
          <w:bCs w:val="false"/>
          <w:i w:val="false"/>
          <w:iCs w:val="false"/>
          <w:color w:val="000000"/>
          <w:sz w:val="20"/>
          <w:szCs w:val="20"/>
        </w:rPr>
        <w:t xml:space="preserve">N'hésitez pas à nous contacter pour toute information que vous jugerez nécessaire.</w:t>
      </w:r>
    </w:p>
    <w:p/>
    <w:p>
      <w:pPr>
        <w:keepNext w:val="false"/>
        <w:spacing w:after="120"/>
        <w:jc w:val="both"/>
      </w:pPr>
      <w:r>
        <w:rPr>
          <w:rFonts w:ascii="Arial" w:cs="Arial" w:eastAsia="Arial" w:hAnsi="Arial"/>
          <w:b w:val="false"/>
          <w:bCs w:val="false"/>
          <w:i w:val="false"/>
          <w:iCs w:val="false"/>
          <w:color w:val="000000"/>
          <w:sz w:val="20"/>
          <w:szCs w:val="20"/>
        </w:rPr>
        <w:t xml:space="preserve">Veuillez agréer, Monsieur, l'expression de nos respectueuses salutations.</w:t>
      </w:r>
    </w:p>
    <w:p/>
    <w:p>
      <w:pPr>
        <w:keepNext/>
        <w:spacing w:after="120"/>
        <w:jc w:val="both"/>
      </w:pPr>
      <w:r>
        <w:rPr>
          <w:rFonts w:ascii="Arial" w:cs="Arial" w:eastAsia="Arial" w:hAnsi="Arial"/>
          <w:b/>
          <w:bCs/>
          <w:i w:val="false"/>
          <w:iCs w:val="false"/>
          <w:color w:val="1A2B4C"/>
          <w:sz w:val="20"/>
          <w:szCs w:val="20"/>
        </w:rPr>
        <w:t xml:space="preserve">Hatem LEMBARKI</w:t>
      </w:r>
    </w:p>
    <w:p>
      <w:pPr>
        <w:keepNext/>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keepNext w:val="false"/>
        <w:spacing w:after="120"/>
        <w:jc w:val="both"/>
      </w:pPr>
      <w:r>
        <w:rPr>
          <w:rFonts w:ascii="Arial" w:cs="Arial" w:eastAsia="Arial" w:hAnsi="Arial"/>
          <w:b w:val="false"/>
          <w:bCs w:val="false"/>
          <w:i w:val="false"/>
          <w:iCs w:val="false"/>
          <w:color w:val="8E9DAE"/>
          <w:sz w:val="18"/>
          <w:szCs w:val="18"/>
        </w:rPr>
        <w:t xml:space="preserve">Fondateur Gérant</w:t>
      </w:r>
    </w:p>
    <w:p>
      <w:pPr>
        <w:pageBreakBefore/>
      </w:pPr>
    </w:p>
    <w:p>
      <w:pPr>
        <w:pBdr>
          <w:bottom w:val="single" w:color="FF6B00" w:sz="6" w:space="4"/>
        </w:pBdr>
        <w:spacing w:after="200"/>
      </w:pPr>
      <w:r>
        <w:rPr>
          <w:rFonts w:ascii="Arial" w:cs="Arial" w:eastAsia="Arial" w:hAnsi="Arial"/>
          <w:b/>
          <w:bCs/>
          <w:color w:val="1A2B4C"/>
          <w:sz w:val="26"/>
          <w:szCs w:val="26"/>
        </w:rPr>
        <w:t xml:space="preserve">DÉTAILS DE NOTRE OFFRE DE SERVICE</w:t>
      </w:r>
    </w:p>
    <w:p/>
    <w:p>
      <w:pPr>
        <w:keepNext w:val="false"/>
        <w:spacing w:after="120"/>
        <w:jc w:val="both"/>
      </w:pPr>
      <w:r>
        <w:rPr>
          <w:rFonts w:ascii="Arial" w:cs="Arial" w:eastAsia="Arial" w:hAnsi="Arial"/>
          <w:b w:val="false"/>
          <w:bCs w:val="false"/>
          <w:i w:val="false"/>
          <w:iCs w:val="false"/>
          <w:color w:val="000000"/>
          <w:sz w:val="20"/>
          <w:szCs w:val="20"/>
        </w:rPr>
        <w:t xml:space="preserve">LVO-INGENIERIE convient de fournir ses services d'assistance, d'étude et de conseil pour les équipements de transports mécaniques du Centre administratif du Port situé 20 avenue du 14 Juillet 1789, 97420 Le Port, comme indiqué ci-après.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bCs/>
                <w:color w:val="FF6B00"/>
                <w:sz w:val="20"/>
                <w:szCs w:val="20"/>
              </w:rPr>
              <w:t xml:space="preserve">Maintenance Management</w:t>
            </w:r>
          </w:p>
        </w:tc>
      </w:tr>
    </w:tbl>
    <w:p>
      <w:pPr>
        <w:keepNext w:val="false"/>
        <w:spacing w:after="120"/>
        <w:jc w:val="both"/>
      </w:pPr>
      <w:r>
        <w:rPr>
          <w:rFonts w:ascii="Arial" w:cs="Arial" w:eastAsia="Arial" w:hAnsi="Arial"/>
          <w:b/>
          <w:bCs/>
          <w:i w:val="false"/>
          <w:iCs w:val="false"/>
          <w:color w:val="EA4E00"/>
          <w:sz w:val="22"/>
          <w:szCs w:val="22"/>
        </w:rPr>
        <w:t xml:space="preserve">OBJET DU CONTRAT</w:t>
      </w:r>
    </w:p>
    <w:p>
      <w:pPr>
        <w:keepNext w:val="false"/>
        <w:spacing w:after="120"/>
        <w:jc w:val="both"/>
      </w:pPr>
      <w:r>
        <w:rPr>
          <w:rFonts w:ascii="Arial" w:cs="Arial" w:eastAsia="Arial" w:hAnsi="Arial"/>
          <w:b w:val="false"/>
          <w:bCs w:val="false"/>
          <w:i w:val="false"/>
          <w:iCs w:val="false"/>
          <w:color w:val="000000"/>
          <w:sz w:val="20"/>
          <w:szCs w:val="20"/>
        </w:rPr>
        <w:t xml:space="preserve">LVO-INGENIERIE, par le présent document, accepte de fournir des services de conseil, d'assistance et de suivi dans le cadre du contrat de Maintenance Management dont il est fait mention plus haut, conformément aux informations ci-après stipulant l'étendue des services et les conditions générales de vente (sauf accord écrit contraire) au prix devisé ci-dessous, hors services supplémentaires et taxe sur la valeur ajoutée.</w:t>
      </w:r>
    </w:p>
    <w:p>
      <w:pPr>
        <w:keepNext w:val="false"/>
        <w:spacing w:after="120"/>
        <w:jc w:val="both"/>
      </w:pPr>
      <w:r>
        <w:rPr>
          <w:rFonts w:ascii="Arial" w:cs="Arial" w:eastAsia="Arial" w:hAnsi="Arial"/>
          <w:b/>
          <w:bCs/>
          <w:i w:val="false"/>
          <w:iCs w:val="false"/>
          <w:color w:val="EA4E00"/>
          <w:sz w:val="22"/>
          <w:szCs w:val="22"/>
        </w:rPr>
        <w:t xml:space="preserve">CONTENU DE LA MISSION</w:t>
      </w:r>
    </w:p>
    <w:p>
      <w:pPr>
        <w:keepNext w:val="false"/>
        <w:spacing w:after="120"/>
        <w:jc w:val="both"/>
      </w:pPr>
      <w:r>
        <w:rPr>
          <w:rFonts w:ascii="Arial" w:cs="Arial" w:eastAsia="Arial" w:hAnsi="Arial"/>
          <w:b w:val="false"/>
          <w:bCs w:val="false"/>
          <w:i w:val="false"/>
          <w:iCs w:val="false"/>
          <w:color w:val="000000"/>
          <w:sz w:val="20"/>
          <w:szCs w:val="20"/>
        </w:rPr>
        <w:t xml:space="preserve">Les rôles et responsabilités spécifiques de LVO-INGENIERIE pour cette prestation sont définis ci-dessous.</w:t>
      </w:r>
    </w:p>
    <w:p>
      <w:pPr>
        <w:keepNext w:val="false"/>
        <w:spacing w:after="120"/>
        <w:jc w:val="both"/>
      </w:pPr>
      <w:r>
        <w:rPr>
          <w:rFonts w:ascii="Arial" w:cs="Arial" w:eastAsia="Arial" w:hAnsi="Arial"/>
          <w:b w:val="false"/>
          <w:bCs w:val="false"/>
          <w:i w:val="false"/>
          <w:iCs w:val="false"/>
          <w:color w:val="000000"/>
          <w:sz w:val="20"/>
          <w:szCs w:val="20"/>
        </w:rPr>
        <w:t xml:space="preserve">Un interlocuteur unique vous assistera dans le suivi administratif et technique de vos installations. L'objectif de ce contrat de maintenance management doit permettre de maintenir au niveau contractuel le fonctionnement et la disponibilité de vos ascenseurs et d'améliorer le niveau de sécurité global de ces équipements.</w:t>
      </w:r>
    </w:p>
    <w:p>
      <w:pPr>
        <w:keepNext w:val="false"/>
        <w:spacing w:after="120"/>
        <w:jc w:val="both"/>
      </w:pPr>
      <w:r>
        <w:rPr>
          <w:rFonts w:ascii="Arial" w:cs="Arial" w:eastAsia="Arial" w:hAnsi="Arial"/>
          <w:b w:val="false"/>
          <w:bCs w:val="false"/>
          <w:i w:val="false"/>
          <w:iCs w:val="false"/>
          <w:color w:val="000000"/>
          <w:sz w:val="20"/>
          <w:szCs w:val="20"/>
        </w:rPr>
        <w:t xml:space="preserve">LVO-INGENIERIE fera le nécessaire pour maintenir ou améliorer la relation avec le ou les prestataires ascenseurs.</w:t>
      </w:r>
    </w:p>
    <w:p>
      <w:pPr>
        <w:keepNext w:val="false"/>
        <w:spacing w:after="120"/>
        <w:jc w:val="both"/>
      </w:pPr>
      <w:r>
        <w:rPr>
          <w:rFonts w:ascii="Arial" w:cs="Arial" w:eastAsia="Arial" w:hAnsi="Arial"/>
          <w:b w:val="false"/>
          <w:bCs w:val="false"/>
          <w:i w:val="false"/>
          <w:iCs w:val="false"/>
          <w:color w:val="000000"/>
          <w:sz w:val="20"/>
          <w:szCs w:val="20"/>
        </w:rPr>
        <w:t xml:space="preserve">Les missions suivantes seront réalisées dans le cadre de ce contrat :</w:t>
      </w:r>
    </w:p>
    <w:p>
      <w:pPr>
        <w:spacing w:after="60" w:before="120"/>
      </w:pPr>
      <w:r>
        <w:rPr>
          <w:rFonts w:ascii="Arial" w:cs="Arial" w:eastAsia="Arial" w:hAnsi="Arial"/>
          <w:b/>
          <w:bCs/>
          <w:color w:val="EA4E00"/>
          <w:sz w:val="20"/>
          <w:szCs w:val="20"/>
        </w:rPr>
        <w:t xml:space="preserve">Suivi des contrôles techniques annuels</w:t>
      </w:r>
    </w:p>
    <w:p>
      <w:pPr>
        <w:keepNext w:val="false"/>
        <w:spacing w:after="120"/>
        <w:jc w:val="both"/>
      </w:pPr>
      <w:r>
        <w:rPr>
          <w:rFonts w:ascii="Arial" w:cs="Arial" w:eastAsia="Arial" w:hAnsi="Arial"/>
          <w:b w:val="false"/>
          <w:bCs w:val="false"/>
          <w:i w:val="false"/>
          <w:iCs w:val="false"/>
          <w:color w:val="000000"/>
          <w:sz w:val="20"/>
          <w:szCs w:val="20"/>
        </w:rPr>
        <w:t xml:space="preserve">Une fois la visite de contrôle effectuée, LVO-INGENIERIE s'assurera que les rapports sont envoyés dans les meilleurs délais au prestataire pour traitement.</w:t>
      </w:r>
    </w:p>
    <w:p>
      <w:pPr>
        <w:keepNext w:val="false"/>
        <w:spacing w:after="120"/>
        <w:jc w:val="both"/>
      </w:pPr>
      <w:r>
        <w:rPr>
          <w:rFonts w:ascii="Arial" w:cs="Arial" w:eastAsia="Arial" w:hAnsi="Arial"/>
          <w:b w:val="false"/>
          <w:bCs w:val="false"/>
          <w:i w:val="false"/>
          <w:iCs w:val="false"/>
          <w:color w:val="000000"/>
          <w:sz w:val="20"/>
          <w:szCs w:val="20"/>
        </w:rPr>
        <w:t xml:space="preserve">Une copie de ces rapports sera transmise dans le même temps au consultant LVO-INGENIERIE. Ce dernier analysera ces rapports de contrôle et planifiera les essais et vérifications non faites.</w:t>
      </w:r>
    </w:p>
    <w:p>
      <w:pPr>
        <w:keepNext w:val="false"/>
        <w:spacing w:after="120"/>
        <w:jc w:val="both"/>
      </w:pPr>
      <w:r>
        <w:rPr>
          <w:rFonts w:ascii="Arial" w:cs="Arial" w:eastAsia="Arial" w:hAnsi="Arial"/>
          <w:b w:val="false"/>
          <w:bCs w:val="false"/>
          <w:i w:val="false"/>
          <w:iCs w:val="false"/>
          <w:color w:val="000000"/>
          <w:sz w:val="20"/>
          <w:szCs w:val="20"/>
        </w:rPr>
        <w:t xml:space="preserve">Après analyse, LVO-INGENIERIE assurera le suivi des actions à mettre en place par le prestataire pour lever les réserves formulées dans le rapport.</w:t>
      </w:r>
    </w:p>
    <w:p>
      <w:pPr>
        <w:keepNext w:val="false"/>
        <w:spacing w:after="120"/>
        <w:jc w:val="both"/>
      </w:pPr>
      <w:r>
        <w:rPr>
          <w:rFonts w:ascii="Arial" w:cs="Arial" w:eastAsia="Arial" w:hAnsi="Arial"/>
          <w:b w:val="false"/>
          <w:bCs w:val="false"/>
          <w:i w:val="false"/>
          <w:iCs w:val="false"/>
          <w:color w:val="000000"/>
          <w:sz w:val="20"/>
          <w:szCs w:val="20"/>
        </w:rPr>
        <w:t xml:space="preserve">LVO-INGENIERIE validera ou refusera les devis émis par le prestataire couvrant les risques et réserves identifiés.</w:t>
      </w:r>
    </w:p>
    <w:p>
      <w:pPr>
        <w:spacing w:after="60" w:before="120"/>
      </w:pPr>
      <w:r>
        <w:rPr>
          <w:rFonts w:ascii="Arial" w:cs="Arial" w:eastAsia="Arial" w:hAnsi="Arial"/>
          <w:b/>
          <w:bCs/>
          <w:color w:val="EA4E00"/>
          <w:sz w:val="20"/>
          <w:szCs w:val="20"/>
        </w:rPr>
        <w:t xml:space="preserve">Support technique</w:t>
      </w:r>
    </w:p>
    <w:p>
      <w:pPr>
        <w:keepNext w:val="false"/>
        <w:spacing w:after="120"/>
        <w:jc w:val="both"/>
      </w:pPr>
      <w:r>
        <w:rPr>
          <w:rFonts w:ascii="Arial" w:cs="Arial" w:eastAsia="Arial" w:hAnsi="Arial"/>
          <w:b w:val="false"/>
          <w:bCs w:val="false"/>
          <w:i w:val="false"/>
          <w:iCs w:val="false"/>
          <w:color w:val="000000"/>
          <w:sz w:val="20"/>
          <w:szCs w:val="20"/>
        </w:rPr>
        <w:t xml:space="preserve">LVO-INGENIERIE assure une Assistance Téléphonique et conseil le gestionnaire en cas de pannes répétitives sur les installations couvertes par notre contrat.</w:t>
      </w:r>
    </w:p>
    <w:p>
      <w:pPr>
        <w:keepNext w:val="false"/>
        <w:spacing w:after="120"/>
        <w:jc w:val="both"/>
      </w:pPr>
      <w:r>
        <w:rPr>
          <w:rFonts w:ascii="Arial" w:cs="Arial" w:eastAsia="Arial" w:hAnsi="Arial"/>
          <w:b w:val="false"/>
          <w:bCs w:val="false"/>
          <w:i w:val="false"/>
          <w:iCs w:val="false"/>
          <w:color w:val="000000"/>
          <w:sz w:val="20"/>
          <w:szCs w:val="20"/>
        </w:rPr>
        <w:t xml:space="preserve">Le consultant prendra contact avec l'ascensoriste pour connaître les raisons détaillées de ces pannes et les actions mises en place.</w:t>
      </w:r>
    </w:p>
    <w:p>
      <w:pPr>
        <w:spacing w:after="60" w:before="120"/>
      </w:pPr>
      <w:r>
        <w:rPr>
          <w:rFonts w:ascii="Arial" w:cs="Arial" w:eastAsia="Arial" w:hAnsi="Arial"/>
          <w:b/>
          <w:bCs/>
          <w:color w:val="EA4E00"/>
          <w:sz w:val="20"/>
          <w:szCs w:val="20"/>
        </w:rPr>
        <w:t xml:space="preserve">Suivi administratif</w:t>
      </w:r>
    </w:p>
    <w:p>
      <w:pPr>
        <w:keepNext w:val="false"/>
        <w:spacing w:after="120"/>
        <w:jc w:val="both"/>
      </w:pPr>
      <w:r>
        <w:rPr>
          <w:rFonts w:ascii="Arial" w:cs="Arial" w:eastAsia="Arial" w:hAnsi="Arial"/>
          <w:b w:val="false"/>
          <w:bCs w:val="false"/>
          <w:i w:val="false"/>
          <w:iCs w:val="false"/>
          <w:color w:val="000000"/>
          <w:sz w:val="20"/>
          <w:szCs w:val="20"/>
        </w:rPr>
        <w:t xml:space="preserve">LVO-INGENIERIE assure la vérification et la validation des factures de maintenance du prestataire, des devis de réparations et des devis pour intervention hors contrat qui lui sont transmises par le signataire de ce contrat.</w:t>
      </w:r>
    </w:p>
    <w:p>
      <w:pPr>
        <w:keepNext w:val="false"/>
        <w:spacing w:after="120"/>
        <w:jc w:val="both"/>
      </w:pPr>
      <w:r>
        <w:rPr>
          <w:rFonts w:ascii="Arial" w:cs="Arial" w:eastAsia="Arial" w:hAnsi="Arial"/>
          <w:b w:val="false"/>
          <w:bCs w:val="false"/>
          <w:i w:val="false"/>
          <w:iCs w:val="false"/>
          <w:color w:val="000000"/>
          <w:sz w:val="20"/>
          <w:szCs w:val="20"/>
        </w:rPr>
        <w:t xml:space="preserve">Après vérification, LVO-INGENIERIE transmet au client les factures pour paiement ou demande d'avoir/annulation auprès du prestataire de maintenance.</w:t>
      </w:r>
    </w:p>
    <w:p>
      <w:pPr>
        <w:spacing w:after="60" w:before="120"/>
      </w:pPr>
      <w:r>
        <w:rPr>
          <w:rFonts w:ascii="Arial" w:cs="Arial" w:eastAsia="Arial" w:hAnsi="Arial"/>
          <w:b/>
          <w:bCs/>
          <w:color w:val="EA4E00"/>
          <w:sz w:val="20"/>
          <w:szCs w:val="20"/>
        </w:rPr>
        <w:t xml:space="preserve">Reporting semestriel</w:t>
      </w:r>
    </w:p>
    <w:p>
      <w:pPr>
        <w:keepNext w:val="false"/>
        <w:spacing w:after="120"/>
        <w:jc w:val="both"/>
      </w:pPr>
      <w:r>
        <w:rPr>
          <w:rFonts w:ascii="Arial" w:cs="Arial" w:eastAsia="Arial" w:hAnsi="Arial"/>
          <w:b w:val="false"/>
          <w:bCs w:val="false"/>
          <w:i w:val="false"/>
          <w:iCs w:val="false"/>
          <w:color w:val="000000"/>
          <w:sz w:val="20"/>
          <w:szCs w:val="20"/>
        </w:rPr>
        <w:t xml:space="preserve">Une analyse des rapports de maintenance et des interventions, un suivi des actions spécifiques réalisées, un bilan des levées de réserves du rapport de contrôles est effectué.</w:t>
      </w:r>
    </w:p>
    <w:p>
      <w:pPr>
        <w:keepNext w:val="false"/>
        <w:spacing w:after="120"/>
        <w:jc w:val="both"/>
      </w:pPr>
      <w:r>
        <w:rPr>
          <w:rFonts w:ascii="Arial" w:cs="Arial" w:eastAsia="Arial" w:hAnsi="Arial"/>
          <w:b w:val="false"/>
          <w:bCs w:val="false"/>
          <w:i w:val="false"/>
          <w:iCs w:val="false"/>
          <w:color w:val="000000"/>
          <w:sz w:val="20"/>
          <w:szCs w:val="20"/>
        </w:rPr>
        <w:t xml:space="preserve">Un tableau des pénalités contractuelles est dressé et discuté avec le prestataire de maintenance afin de déterminer si ces pénalités contractuelles seront appliquées.</w:t>
      </w:r>
    </w:p>
    <w:p>
      <w:pPr>
        <w:keepNext w:val="false"/>
        <w:spacing w:after="120"/>
        <w:jc w:val="both"/>
      </w:pPr>
      <w:r>
        <w:rPr>
          <w:rFonts w:ascii="Arial" w:cs="Arial" w:eastAsia="Arial" w:hAnsi="Arial"/>
          <w:b w:val="false"/>
          <w:bCs w:val="false"/>
          <w:i w:val="false"/>
          <w:iCs w:val="false"/>
          <w:color w:val="000000"/>
          <w:sz w:val="20"/>
          <w:szCs w:val="20"/>
        </w:rPr>
        <w:t xml:space="preserve">Le Planning des actions à réaliser est mis à jour pour la prochaine réunion et une planification de réunions intermédiaires est organisée si nécessaire.</w:t>
      </w:r>
    </w:p>
    <w:p>
      <w:pPr>
        <w:spacing w:after="60" w:before="120"/>
      </w:pPr>
      <w:r>
        <w:rPr>
          <w:rFonts w:ascii="Arial" w:cs="Arial" w:eastAsia="Arial" w:hAnsi="Arial"/>
          <w:b/>
          <w:bCs/>
          <w:color w:val="EA4E00"/>
          <w:sz w:val="20"/>
          <w:szCs w:val="20"/>
        </w:rPr>
        <w:t xml:space="preserve">Réunions</w:t>
      </w:r>
    </w:p>
    <w:p>
      <w:pPr>
        <w:spacing w:after="60"/>
        <w:ind w:left="360"/>
      </w:pPr>
      <w:r>
        <w:rPr>
          <w:rFonts w:ascii="Arial" w:cs="Arial" w:eastAsia="Arial" w:hAnsi="Arial"/>
          <w:sz w:val="20"/>
          <w:szCs w:val="20"/>
        </w:rPr>
        <w:t xml:space="preserve">• Une réunion semestrielle en vidéoconférence avec l'entreprise et le client.</w:t>
      </w:r>
    </w:p>
    <w:p>
      <w:pPr>
        <w:spacing w:after="60"/>
        <w:ind w:left="360"/>
      </w:pPr>
      <w:r>
        <w:rPr>
          <w:rFonts w:ascii="Arial" w:cs="Arial" w:eastAsia="Arial" w:hAnsi="Arial"/>
          <w:sz w:val="20"/>
          <w:szCs w:val="20"/>
        </w:rPr>
        <w:t xml:space="preserve">• Une réunion annuelle en présentiel avec l'entreprise et le client.</w:t>
      </w:r>
    </w:p>
    <w:p>
      <w:pPr>
        <w:keepNext w:val="false"/>
        <w:spacing w:after="120"/>
        <w:jc w:val="both"/>
      </w:pPr>
      <w:r>
        <w:rPr>
          <w:rFonts w:ascii="Arial" w:cs="Arial" w:eastAsia="Arial" w:hAnsi="Arial"/>
          <w:b/>
          <w:bCs/>
          <w:i w:val="false"/>
          <w:iCs w:val="false"/>
          <w:color w:val="EA4E00"/>
          <w:sz w:val="22"/>
          <w:szCs w:val="22"/>
        </w:rPr>
        <w:t xml:space="preserve">DÉLAIS – DURÉE DU CONTRAT</w:t>
      </w:r>
    </w:p>
    <w:p>
      <w:pPr>
        <w:keepNext w:val="false"/>
        <w:spacing w:after="120"/>
        <w:jc w:val="both"/>
      </w:pPr>
      <w:r>
        <w:rPr>
          <w:rFonts w:ascii="Arial" w:cs="Arial" w:eastAsia="Arial" w:hAnsi="Arial"/>
          <w:b w:val="false"/>
          <w:bCs w:val="false"/>
          <w:i w:val="false"/>
          <w:iCs w:val="false"/>
          <w:color w:val="000000"/>
          <w:sz w:val="20"/>
          <w:szCs w:val="20"/>
        </w:rPr>
        <w:t xml:space="preserve">Dans le cadre de cette prestation, LVO-INGENIERIE fournira le soutien opérationnel, technique et le suivi de la gestion des équipements de transport vertical situés sur les sites nommés en annexe pour une période de 1 an à partir de la date de signature du contrat, sauf indication du contraire par écrit. À la fin de cette période, le contrat sera renouvelé par tacite reconduction pour une période de 1 an (un an).</w:t>
      </w:r>
    </w:p>
    <w:p/>
    <w:p>
      <w:pPr>
        <w:pageBreakBefore/>
      </w:pPr>
    </w:p>
    <w:p>
      <w:pPr>
        <w:pBdr>
          <w:bottom w:val="single" w:color="FF6B00" w:sz="6" w:space="4"/>
        </w:pBdr>
        <w:spacing w:after="200"/>
      </w:pPr>
      <w:r>
        <w:rPr>
          <w:rFonts w:ascii="Arial" w:cs="Arial" w:eastAsia="Arial" w:hAnsi="Arial"/>
          <w:b/>
          <w:bCs/>
          <w:color w:val="1A2B4C"/>
          <w:sz w:val="26"/>
          <w:szCs w:val="26"/>
        </w:rPr>
        <w:t xml:space="preserve">MONTANT DES HONORAIRES</w:t>
      </w:r>
    </w:p>
    <w:p/>
    <w:p>
      <w:pPr>
        <w:keepNext w:val="false"/>
        <w:spacing w:after="120"/>
        <w:jc w:val="both"/>
      </w:pPr>
      <w:r>
        <w:rPr>
          <w:rFonts w:ascii="Arial" w:cs="Arial" w:eastAsia="Arial" w:hAnsi="Arial"/>
          <w:b/>
          <w:bCs/>
          <w:i w:val="false"/>
          <w:iCs w:val="false"/>
          <w:color w:val="1A2B4C"/>
          <w:sz w:val="22"/>
          <w:szCs w:val="22"/>
        </w:rPr>
        <w:t xml:space="preserve">Tableau de l'offre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55"/>
        <w:gridCol w:w="4171"/>
      </w:tblGrid>
      <w:tr>
        <w:tc>
          <w:tcPr>
            <w:tcW w:type="dxa" w:w="485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4171"/>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r>
      <w:tr>
        <w:tc>
          <w:tcPr>
            <w:tcW w:type="dxa" w:w="485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MAINTENANCE MANAGEMENT</w:t>
            </w:r>
            <w:r>
              <w:br/>
              <w:t xml:space="preserve"/>
            </w:r>
            <w:r>
              <w:rPr>
                <w:rFonts w:ascii="Arial" w:cs="Arial" w:eastAsia="Arial" w:hAnsi="Arial"/>
                <w:b/>
                <w:bCs/>
                <w:color w:val="1A2B4C"/>
                <w:sz w:val="19"/>
                <w:szCs w:val="19"/>
              </w:rPr>
              <w:t xml:space="preserve">6 Ascenseurs</w:t>
            </w:r>
          </w:p>
        </w:tc>
        <w:tc>
          <w:tcPr>
            <w:tcW w:type="dxa" w:w="417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45,00 € HT/Mois/Ascenseur</w:t>
            </w:r>
          </w:p>
        </w:tc>
      </w:tr>
      <w:tr>
        <w:tc>
          <w:tcPr>
            <w:tcW w:type="dxa" w:w="4855"/>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TOTAL / an</w:t>
            </w:r>
          </w:p>
        </w:tc>
        <w:tc>
          <w:tcPr>
            <w:tcW w:type="dxa" w:w="4171"/>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3 240,00 € HT</w:t>
            </w:r>
          </w:p>
        </w:tc>
      </w:tr>
      <w:tr>
        <w:tc>
          <w:tcPr>
            <w:tcW w:type="dxa" w:w="4855"/>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333333"/>
                <w:sz w:val="22"/>
                <w:szCs w:val="22"/>
              </w:rPr>
              <w:t xml:space="preserve">Pour l'exercice 2026,</w:t>
            </w:r>
          </w:p>
        </w:tc>
        <w:tc>
          <w:tcPr>
            <w:tcW w:type="dxa" w:w="4171"/>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1 080,00 € 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9DAE" w:sz="1"/>
              <w:left w:val="single" w:color="8E9DAE" w:sz="1"/>
              <w:bottom w:val="single" w:color="8E9DAE" w:sz="1"/>
              <w:right w:val="single" w:color="8E9DAE" w:sz="1"/>
            </w:tcBorders>
            <w:shd w:fill="F4F6F9" w:val="clear"/>
            <w:tcMar>
              <w:top w:type="dxa" w:w="120"/>
              <w:left w:type="dxa" w:w="200"/>
              <w:bottom w:type="dxa" w:w="120"/>
              <w:right w:type="dxa" w:w="200"/>
            </w:tcMar>
          </w:tcPr>
          <w:p>
            <w:pPr>
              <w:jc w:val="center"/>
            </w:pPr>
            <w:r>
              <w:rPr>
                <w:rFonts w:ascii="Arial" w:cs="Arial" w:eastAsia="Arial" w:hAnsi="Arial"/>
                <w:b/>
                <w:bCs/>
                <w:color w:val="1A2B4C"/>
                <w:sz w:val="19"/>
                <w:szCs w:val="19"/>
              </w:rPr>
              <w:t xml:space="preserve">Coût horaire LVO-INGENIERIE : 175 € HT       |       Coût Journalier : 1 225 € HT</w:t>
            </w:r>
          </w:p>
          <w:p>
            <w:r>
              <w:rPr>
                <w:rFonts w:ascii="Arial" w:cs="Arial" w:eastAsia="Arial" w:hAnsi="Arial"/>
                <w:color w:val="8E9DAE"/>
                <w:sz w:val="18"/>
                <w:szCs w:val="18"/>
              </w:rPr>
              <w:t xml:space="preserve">TVA applicable : 8,5 %</w:t>
            </w:r>
          </w:p>
          <w:p>
            <w:r>
              <w:rPr>
                <w:rFonts w:ascii="Arial" w:cs="Arial" w:eastAsia="Arial" w:hAnsi="Arial"/>
                <w:color w:val="8E9DAE"/>
                <w:sz w:val="18"/>
                <w:szCs w:val="18"/>
              </w:rPr>
              <w:t xml:space="preserve">Offre valable 3 mois — Révisable selon l'indice SYNTEC.</w:t>
            </w:r>
          </w:p>
        </w:tc>
      </w:tr>
    </w:tbl>
    <w:p/>
    <w:p>
      <w:pPr>
        <w:keepNext w:val="false"/>
        <w:spacing w:after="120"/>
        <w:jc w:val="both"/>
      </w:pPr>
      <w:r>
        <w:rPr>
          <w:rFonts w:ascii="Arial" w:cs="Arial" w:eastAsia="Arial" w:hAnsi="Arial"/>
          <w:b/>
          <w:bCs/>
          <w:i w:val="false"/>
          <w:iCs w:val="false"/>
          <w:color w:val="1A2B4C"/>
          <w:sz w:val="22"/>
          <w:szCs w:val="22"/>
        </w:rPr>
        <w:t xml:space="preserve">Échéancier de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64"/>
        <w:gridCol w:w="1577"/>
        <w:gridCol w:w="3785"/>
      </w:tblGrid>
      <w:tr>
        <w:tc>
          <w:tcPr>
            <w:tcW w:type="dxa" w:w="3664"/>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1577"/>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c>
          <w:tcPr>
            <w:tcW w:type="dxa" w:w="378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FACTURATION — ÉCHÉANCIER</w:t>
            </w:r>
          </w:p>
        </w:tc>
      </w:tr>
      <w:tr>
        <w:tc>
          <w:tcPr>
            <w:tcW w:type="dxa" w:w="3664"/>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MAINTENANCE MANAGEMENT 2026</w:t>
            </w:r>
          </w:p>
        </w:tc>
        <w:tc>
          <w:tcPr>
            <w:tcW w:type="dxa" w:w="1577"/>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1 080,00 €</w:t>
            </w:r>
          </w:p>
        </w:tc>
        <w:tc>
          <w:tcPr>
            <w:tcW w:type="dxa" w:w="378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50 % à l'envoi du rapport 1er semestre</w:t>
            </w:r>
            <w:r>
              <w:br/>
              <w:t xml:space="preserve"/>
            </w:r>
            <w:r>
              <w:rPr>
                <w:rFonts w:ascii="Arial" w:cs="Arial" w:eastAsia="Arial" w:hAnsi="Arial"/>
                <w:b w:val="false"/>
                <w:bCs w:val="false"/>
                <w:color w:val="333333"/>
                <w:sz w:val="19"/>
                <w:szCs w:val="19"/>
              </w:rPr>
              <w:t xml:space="preserve">50 % à l'envoi du rapport 2e semestre</w:t>
            </w:r>
          </w:p>
        </w:tc>
      </w:tr>
      <w:tr>
        <w:tc>
          <w:tcPr>
            <w:tcW w:type="dxa" w:w="3664"/>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TOTAL</w:t>
            </w:r>
          </w:p>
        </w:tc>
        <w:tc>
          <w:tcPr>
            <w:tcW w:type="dxa" w:w="1577"/>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19"/>
                <w:szCs w:val="19"/>
              </w:rPr>
              <w:t xml:space="preserve">1 080,00 €</w:t>
            </w:r>
          </w:p>
        </w:tc>
        <w:tc>
          <w:tcPr>
            <w:tcW w:type="dxa" w:w="3785"/>
            <w:tcBorders>
              <w:top w:val="single" w:color="8E9DAE" w:sz="1"/>
              <w:left w:val="single" w:color="8E9DAE" w:sz="1"/>
              <w:bottom w:val="single" w:color="8E9DAE" w:sz="1"/>
              <w:right w:val="single" w:color="8E9DAE" w:sz="1"/>
            </w:tcBorders>
            <w:shd w:fill="F4F6F9"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DÉLAIS ET CALENDRIER PRÉVISIONNEL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6418"/>
      </w:tblGrid>
      <w:tr>
        <w:tc>
          <w:tcPr>
            <w:tcW w:type="dxa" w:w="2608"/>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6418"/>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DÉLAI PRÉVISIONNEL</w:t>
            </w:r>
          </w:p>
        </w:tc>
      </w:tr>
      <w:tr>
        <w:tc>
          <w:tcPr>
            <w:tcW w:type="dxa" w:w="2608"/>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Rapport semestriel</w:t>
            </w:r>
          </w:p>
        </w:tc>
        <w:tc>
          <w:tcPr>
            <w:tcW w:type="dxa" w:w="6418"/>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15 jours à partir de l'envoi des données prestataires</w:t>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ORDRE DE MISSION — SIGNATURES</w:t>
      </w:r>
    </w:p>
    <w:p/>
    <w:tbl>
      <w:tblPr>
        <w:tblW w:type="dxa" w:w="9062"/>
        <w:tblBorders>
          <w:top w:val="single" w:color="auto" w:sz="4"/>
          <w:left w:val="single" w:color="auto" w:sz="4"/>
          <w:bottom w:val="single" w:color="auto" w:sz="4"/>
          <w:right w:val="single" w:color="auto" w:sz="4"/>
          <w:insideH w:val="single" w:color="auto" w:sz="4"/>
          <w:insideV w:val="single" w:color="auto" w:sz="4"/>
        </w:tblBorders>
      </w:tblPr>
      <w:tblGrid>
        <w:gridCol w:w="4252"/>
        <w:gridCol w:w="320"/>
        <w:gridCol w:w="4490"/>
      </w:tblGrid>
      <w:tr>
        <w:tc>
          <w:tcPr>
            <w:tcW w:type="dxa" w:w="425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LE CLIENT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LVO-INGENIERIE</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  Mr Hatem LEMBARKI</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Fonction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Fonction : Fondateur Gérant</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Date :  21 septembre 2026</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pPr>
              <w:keepNext w:val="false"/>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INFORMATIONS ET CONDITIONS GÉNÉRALES DE VENTES</w:t>
      </w:r>
    </w:p>
    <w:p/>
    <w:p>
      <w:pPr>
        <w:keepNext w:val="false"/>
        <w:spacing w:after="120"/>
        <w:jc w:val="both"/>
      </w:pPr>
      <w:r>
        <w:rPr>
          <w:rFonts w:ascii="Arial" w:cs="Arial" w:eastAsia="Arial" w:hAnsi="Arial"/>
          <w:b/>
          <w:bCs/>
          <w:i w:val="false"/>
          <w:iCs w:val="false"/>
          <w:color w:val="1A2B4C"/>
          <w:sz w:val="22"/>
          <w:szCs w:val="22"/>
        </w:rPr>
        <w:t xml:space="preserve">Introduction</w:t>
      </w:r>
    </w:p>
    <w:p>
      <w:pPr>
        <w:keepNext w:val="false"/>
        <w:spacing w:after="120"/>
        <w:jc w:val="both"/>
      </w:pPr>
      <w:r>
        <w:rPr>
          <w:rFonts w:ascii="Arial" w:cs="Arial" w:eastAsia="Arial" w:hAnsi="Arial"/>
          <w:b w:val="false"/>
          <w:bCs w:val="false"/>
          <w:i w:val="false"/>
          <w:iCs w:val="false"/>
          <w:color w:val="000000"/>
          <w:sz w:val="18"/>
          <w:szCs w:val="18"/>
        </w:rPr>
        <w:t xml:space="preserve">Les mentions « nous » et « le bureau d'études » renvoient à LVO-INGENIERIE, Société à responsabilité limitée sous le numéro 102 486 917 R.C.S. Saint-Denis de La Réunion, dont le siège social se trouve au Centre d'affaires CADJEE, 62 Boulevard du Chaudron, 97491 Saint-Denis La Réunion.</w:t>
      </w:r>
    </w:p>
    <w:p/>
    <w:p>
      <w:pPr>
        <w:keepNext w:val="false"/>
        <w:spacing w:after="120"/>
        <w:jc w:val="both"/>
      </w:pPr>
      <w:r>
        <w:rPr>
          <w:rFonts w:ascii="Arial" w:cs="Arial" w:eastAsia="Arial" w:hAnsi="Arial"/>
          <w:b/>
          <w:bCs/>
          <w:i w:val="false"/>
          <w:iCs w:val="false"/>
          <w:color w:val="EA4E00"/>
          <w:sz w:val="22"/>
          <w:szCs w:val="22"/>
        </w:rPr>
        <w:t xml:space="preserve">1. RESPONSABILITÉ CONCERNANT VOS TRAVAUX</w:t>
      </w:r>
    </w:p>
    <w:p>
      <w:pPr>
        <w:keepNext w:val="false"/>
        <w:spacing w:after="120"/>
        <w:jc w:val="both"/>
      </w:pPr>
      <w:r>
        <w:rPr>
          <w:rFonts w:ascii="Arial" w:cs="Arial" w:eastAsia="Arial" w:hAnsi="Arial"/>
          <w:b w:val="false"/>
          <w:bCs w:val="false"/>
          <w:i w:val="false"/>
          <w:iCs w:val="false"/>
          <w:color w:val="000000"/>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pPr>
        <w:keepNext w:val="false"/>
        <w:spacing w:after="120"/>
        <w:jc w:val="both"/>
      </w:pPr>
      <w:r>
        <w:rPr>
          <w:rFonts w:ascii="Arial" w:cs="Arial" w:eastAsia="Arial" w:hAnsi="Arial"/>
          <w:b/>
          <w:bCs/>
          <w:i w:val="false"/>
          <w:iCs w:val="false"/>
          <w:color w:val="EA4E00"/>
          <w:sz w:val="22"/>
          <w:szCs w:val="22"/>
        </w:rPr>
        <w:t xml:space="preserve">2. LA MANIÈRE DONT NOUS EXÉCUTONS VOS INSTRUCTIONS</w:t>
      </w:r>
    </w:p>
    <w:p>
      <w:pPr>
        <w:keepNext w:val="false"/>
        <w:spacing w:after="120"/>
        <w:jc w:val="both"/>
      </w:pPr>
      <w:r>
        <w:rPr>
          <w:rFonts w:ascii="Arial" w:cs="Arial" w:eastAsia="Arial" w:hAnsi="Arial"/>
          <w:b w:val="false"/>
          <w:bCs w:val="false"/>
          <w:i w:val="false"/>
          <w:iCs w:val="false"/>
          <w:color w:val="000000"/>
          <w:sz w:val="20"/>
          <w:szCs w:val="20"/>
        </w:rPr>
        <w:t xml:space="preserve">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pPr>
        <w:keepNext w:val="false"/>
        <w:spacing w:after="120"/>
        <w:jc w:val="both"/>
      </w:pPr>
      <w:r>
        <w:rPr>
          <w:rFonts w:ascii="Arial" w:cs="Arial" w:eastAsia="Arial" w:hAnsi="Arial"/>
          <w:b/>
          <w:bCs/>
          <w:i w:val="false"/>
          <w:iCs w:val="false"/>
          <w:color w:val="EA4E00"/>
          <w:sz w:val="22"/>
          <w:szCs w:val="22"/>
        </w:rPr>
        <w:t xml:space="preserve">3. CONCLUSION DU CONTRAT</w:t>
      </w:r>
    </w:p>
    <w:p>
      <w:pPr>
        <w:keepNext w:val="false"/>
        <w:spacing w:after="120"/>
        <w:jc w:val="both"/>
      </w:pPr>
      <w:r>
        <w:rPr>
          <w:rFonts w:ascii="Arial" w:cs="Arial" w:eastAsia="Arial" w:hAnsi="Arial"/>
          <w:b w:val="false"/>
          <w:bCs w:val="false"/>
          <w:i w:val="false"/>
          <w:iCs w:val="false"/>
          <w:color w:val="000000"/>
          <w:sz w:val="20"/>
          <w:szCs w:val="20"/>
        </w:rPr>
        <w:t xml:space="preserve">Nous vous informons que la signature de l'ordre de mission vaut pour acceptation des présentes Conditions Générales. Tout ordre de mission surchargé ou raturé sera considéré comme nul.</w:t>
      </w:r>
    </w:p>
    <w:p>
      <w:pPr>
        <w:keepNext w:val="false"/>
        <w:spacing w:after="120"/>
        <w:jc w:val="both"/>
      </w:pPr>
      <w:r>
        <w:rPr>
          <w:rFonts w:ascii="Arial" w:cs="Arial" w:eastAsia="Arial" w:hAnsi="Arial"/>
          <w:b/>
          <w:bCs/>
          <w:i w:val="false"/>
          <w:iCs w:val="false"/>
          <w:color w:val="EA4E00"/>
          <w:sz w:val="22"/>
          <w:szCs w:val="22"/>
        </w:rPr>
        <w:t xml:space="preserve">4. PORTÉE DE NOTRE CONSEIL</w:t>
      </w:r>
    </w:p>
    <w:p>
      <w:pPr>
        <w:keepNext w:val="false"/>
        <w:spacing w:after="120"/>
        <w:jc w:val="both"/>
      </w:pPr>
      <w:r>
        <w:rPr>
          <w:rFonts w:ascii="Arial" w:cs="Arial" w:eastAsia="Arial" w:hAnsi="Arial"/>
          <w:b w:val="false"/>
          <w:bCs w:val="false"/>
          <w:i w:val="false"/>
          <w:iCs w:val="false"/>
          <w:color w:val="000000"/>
          <w:sz w:val="20"/>
          <w:szCs w:val="20"/>
        </w:rPr>
        <w:t xml:space="preserve">4.1 Notre expertise et notre conseil sont spécialisés et découlent de notre expérience ainsi que des codes, normes, lois applicables dans le territoire concerné. Notre expertise relève du domaine du « transport des personnes et des biens ».</w:t>
      </w:r>
    </w:p>
    <w:p>
      <w:pPr>
        <w:keepNext w:val="false"/>
        <w:spacing w:after="120"/>
        <w:jc w:val="both"/>
      </w:pPr>
      <w:r>
        <w:rPr>
          <w:rFonts w:ascii="Arial" w:cs="Arial" w:eastAsia="Arial" w:hAnsi="Arial"/>
          <w:b w:val="false"/>
          <w:bCs w:val="false"/>
          <w:i w:val="false"/>
          <w:iCs w:val="false"/>
          <w:color w:val="000000"/>
          <w:sz w:val="20"/>
          <w:szCs w:val="20"/>
        </w:rPr>
        <w:t xml:space="preserve">4.2 Nous fournissons un conseil et préparons des documents en tenant compte des codes, normes et lois en vigueur au moment de la livraison. Ces éléments sont uniquement censés être utilisés en rapport avec le projet spécifique qui nous a été confié.</w:t>
      </w:r>
    </w:p>
    <w:p>
      <w:pPr>
        <w:keepNext w:val="false"/>
        <w:spacing w:after="120"/>
        <w:jc w:val="both"/>
      </w:pPr>
      <w:r>
        <w:rPr>
          <w:rFonts w:ascii="Arial" w:cs="Arial" w:eastAsia="Arial" w:hAnsi="Arial"/>
          <w:b/>
          <w:bCs/>
          <w:i w:val="false"/>
          <w:iCs w:val="false"/>
          <w:color w:val="EA4E00"/>
          <w:sz w:val="22"/>
          <w:szCs w:val="22"/>
        </w:rPr>
        <w:t xml:space="preserve">5. HONORAIRES ET FRAIS</w:t>
      </w:r>
    </w:p>
    <w:p>
      <w:pPr>
        <w:keepNext w:val="false"/>
        <w:spacing w:after="120"/>
        <w:jc w:val="both"/>
      </w:pPr>
      <w:r>
        <w:rPr>
          <w:rFonts w:ascii="Arial" w:cs="Arial" w:eastAsia="Arial" w:hAnsi="Arial"/>
          <w:b w:val="false"/>
          <w:bCs w:val="false"/>
          <w:i w:val="false"/>
          <w:iCs w:val="false"/>
          <w:color w:val="000000"/>
          <w:sz w:val="20"/>
          <w:szCs w:val="20"/>
        </w:rPr>
        <w:t xml:space="preserve">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 TVA : les honoraires et frais sont assujettis à la TVA au taux en vigueur : 8.5 % (ou 2,1 % avec justificatif : immeuble construit depuis plus de 2 ans, en majorité à usage copropriété).</w:t>
      </w:r>
    </w:p>
    <w:p>
      <w:pPr>
        <w:keepNext w:val="false"/>
        <w:spacing w:after="120"/>
        <w:jc w:val="both"/>
      </w:pPr>
      <w:r>
        <w:rPr>
          <w:rFonts w:ascii="Arial" w:cs="Arial" w:eastAsia="Arial" w:hAnsi="Arial"/>
          <w:b/>
          <w:bCs/>
          <w:i w:val="false"/>
          <w:iCs w:val="false"/>
          <w:color w:val="EA4E00"/>
          <w:sz w:val="22"/>
          <w:szCs w:val="22"/>
        </w:rPr>
        <w:t xml:space="preserve">6. FACTURES</w:t>
      </w:r>
    </w:p>
    <w:p>
      <w:pPr>
        <w:keepNext w:val="false"/>
        <w:spacing w:after="120"/>
        <w:jc w:val="both"/>
      </w:pPr>
      <w:r>
        <w:rPr>
          <w:rFonts w:ascii="Arial" w:cs="Arial" w:eastAsia="Arial" w:hAnsi="Arial"/>
          <w:b w:val="false"/>
          <w:bCs w:val="false"/>
          <w:i w:val="false"/>
          <w:iCs w:val="false"/>
          <w:color w:val="000000"/>
          <w:sz w:val="20"/>
          <w:szCs w:val="20"/>
        </w:rPr>
        <w:t xml:space="preserve">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pPr>
        <w:keepNext w:val="false"/>
        <w:spacing w:after="120"/>
        <w:jc w:val="both"/>
      </w:pPr>
      <w:r>
        <w:rPr>
          <w:rFonts w:ascii="Arial" w:cs="Arial" w:eastAsia="Arial" w:hAnsi="Arial"/>
          <w:b/>
          <w:bCs/>
          <w:i w:val="false"/>
          <w:iCs w:val="false"/>
          <w:color w:val="EA4E00"/>
          <w:sz w:val="22"/>
          <w:szCs w:val="22"/>
        </w:rPr>
        <w:t xml:space="preserve">7. CONFIDENTIALITÉ</w:t>
      </w:r>
    </w:p>
    <w:p>
      <w:pPr>
        <w:keepNext w:val="false"/>
        <w:spacing w:after="120"/>
        <w:jc w:val="both"/>
      </w:pPr>
      <w:r>
        <w:rPr>
          <w:rFonts w:ascii="Arial" w:cs="Arial" w:eastAsia="Arial" w:hAnsi="Arial"/>
          <w:b w:val="false"/>
          <w:bCs w:val="false"/>
          <w:i w:val="false"/>
          <w:iCs w:val="false"/>
          <w:color w:val="000000"/>
          <w:sz w:val="20"/>
          <w:szCs w:val="20"/>
        </w:rPr>
        <w:t xml:space="preserve">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pPr>
        <w:keepNext w:val="false"/>
        <w:spacing w:after="120"/>
        <w:jc w:val="both"/>
      </w:pPr>
      <w:r>
        <w:rPr>
          <w:rFonts w:ascii="Arial" w:cs="Arial" w:eastAsia="Arial" w:hAnsi="Arial"/>
          <w:b/>
          <w:bCs/>
          <w:i w:val="false"/>
          <w:iCs w:val="false"/>
          <w:color w:val="EA4E00"/>
          <w:sz w:val="22"/>
          <w:szCs w:val="22"/>
        </w:rPr>
        <w:t xml:space="preserve">8. INSTRUCTIONS DU CLIENT</w:t>
      </w:r>
    </w:p>
    <w:p>
      <w:pPr>
        <w:keepNext w:val="false"/>
        <w:spacing w:after="120"/>
        <w:jc w:val="both"/>
      </w:pPr>
      <w:r>
        <w:rPr>
          <w:rFonts w:ascii="Arial" w:cs="Arial" w:eastAsia="Arial" w:hAnsi="Arial"/>
          <w:b w:val="false"/>
          <w:bCs w:val="false"/>
          <w:i w:val="false"/>
          <w:iCs w:val="false"/>
          <w:color w:val="000000"/>
          <w:sz w:val="20"/>
          <w:szCs w:val="20"/>
        </w:rPr>
        <w:t xml:space="preserve">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 Vous convenez que nous n'aurons qu'un seul interlocuteur au sein de votre organisation qui jouera le rôle de point de contact central.</w:t>
      </w:r>
    </w:p>
    <w:p>
      <w:pPr>
        <w:keepNext w:val="false"/>
        <w:spacing w:after="120"/>
        <w:jc w:val="both"/>
      </w:pPr>
      <w:r>
        <w:rPr>
          <w:rFonts w:ascii="Arial" w:cs="Arial" w:eastAsia="Arial" w:hAnsi="Arial"/>
          <w:b/>
          <w:bCs/>
          <w:i w:val="false"/>
          <w:iCs w:val="false"/>
          <w:color w:val="EA4E00"/>
          <w:sz w:val="22"/>
          <w:szCs w:val="22"/>
        </w:rPr>
        <w:t xml:space="preserve">9. PROTECTION DES DONNÉES</w:t>
      </w:r>
    </w:p>
    <w:p>
      <w:pPr>
        <w:keepNext w:val="false"/>
        <w:spacing w:after="120"/>
        <w:jc w:val="both"/>
      </w:pPr>
      <w:r>
        <w:rPr>
          <w:rFonts w:ascii="Arial" w:cs="Arial" w:eastAsia="Arial" w:hAnsi="Arial"/>
          <w:b w:val="false"/>
          <w:bCs w:val="false"/>
          <w:i w:val="false"/>
          <w:iCs w:val="false"/>
          <w:color w:val="000000"/>
          <w:sz w:val="20"/>
          <w:szCs w:val="20"/>
        </w:rPr>
        <w:t xml:space="preserve">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pPr>
        <w:keepNext w:val="false"/>
        <w:spacing w:after="120"/>
        <w:jc w:val="both"/>
      </w:pPr>
      <w:r>
        <w:rPr>
          <w:rFonts w:ascii="Arial" w:cs="Arial" w:eastAsia="Arial" w:hAnsi="Arial"/>
          <w:b/>
          <w:bCs/>
          <w:i w:val="false"/>
          <w:iCs w:val="false"/>
          <w:color w:val="EA4E00"/>
          <w:sz w:val="22"/>
          <w:szCs w:val="22"/>
        </w:rPr>
        <w:t xml:space="preserve">10. FICHIERS, DOCUMENTS ET DONNÉES ÉLECTRONIQUES</w:t>
      </w:r>
    </w:p>
    <w:p>
      <w:pPr>
        <w:keepNext w:val="false"/>
        <w:spacing w:after="120"/>
        <w:jc w:val="both"/>
      </w:pPr>
      <w:r>
        <w:rPr>
          <w:rFonts w:ascii="Arial" w:cs="Arial" w:eastAsia="Arial" w:hAnsi="Arial"/>
          <w:b w:val="false"/>
          <w:bCs w:val="false"/>
          <w:i w:val="false"/>
          <w:iCs w:val="false"/>
          <w:color w:val="000000"/>
          <w:sz w:val="20"/>
          <w:szCs w:val="20"/>
        </w:rPr>
        <w:t xml:space="preserve">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pPr>
        <w:keepNext w:val="false"/>
        <w:spacing w:after="120"/>
        <w:jc w:val="both"/>
      </w:pPr>
      <w:r>
        <w:rPr>
          <w:rFonts w:ascii="Arial" w:cs="Arial" w:eastAsia="Arial" w:hAnsi="Arial"/>
          <w:b/>
          <w:bCs/>
          <w:i w:val="false"/>
          <w:iCs w:val="false"/>
          <w:color w:val="EA4E00"/>
          <w:sz w:val="22"/>
          <w:szCs w:val="22"/>
        </w:rPr>
        <w:t xml:space="preserve">11. PROPRIÉTÉ INTELLECTUELLE</w:t>
      </w:r>
    </w:p>
    <w:p>
      <w:pPr>
        <w:keepNext w:val="false"/>
        <w:spacing w:after="120"/>
        <w:jc w:val="both"/>
      </w:pPr>
      <w:r>
        <w:rPr>
          <w:rFonts w:ascii="Arial" w:cs="Arial" w:eastAsia="Arial" w:hAnsi="Arial"/>
          <w:b w:val="false"/>
          <w:bCs w:val="false"/>
          <w:i w:val="false"/>
          <w:iCs w:val="false"/>
          <w:color w:val="000000"/>
          <w:sz w:val="20"/>
          <w:szCs w:val="20"/>
        </w:rPr>
        <w:t xml:space="preserve">11.1 Nous conservons les droits d'auteur sur tout document ou outil de travail que nous avons préparé pour vous, sauf accord spécifique contraire.</w:t>
      </w:r>
    </w:p>
    <w:p>
      <w:pPr>
        <w:keepNext w:val="false"/>
        <w:spacing w:after="120"/>
        <w:jc w:val="both"/>
      </w:pPr>
      <w:r>
        <w:rPr>
          <w:rFonts w:ascii="Arial" w:cs="Arial" w:eastAsia="Arial" w:hAnsi="Arial"/>
          <w:b w:val="false"/>
          <w:bCs w:val="false"/>
          <w:i w:val="false"/>
          <w:iCs w:val="false"/>
          <w:color w:val="000000"/>
          <w:sz w:val="20"/>
          <w:szCs w:val="20"/>
        </w:rPr>
        <w:t xml:space="preserve">11.2 Nous vous accordons une licence non exclusive sans droits d'auteur, vous autorisant à utiliser les documents uniquement dans le cadre du projet pour lequel ils ont été élaborés ou produits.</w:t>
      </w:r>
    </w:p>
    <w:p>
      <w:pPr>
        <w:keepNext w:val="false"/>
        <w:spacing w:after="120"/>
        <w:jc w:val="both"/>
      </w:pPr>
      <w:r>
        <w:rPr>
          <w:rFonts w:ascii="Arial" w:cs="Arial" w:eastAsia="Arial" w:hAnsi="Arial"/>
          <w:b/>
          <w:bCs/>
          <w:i w:val="false"/>
          <w:iCs w:val="false"/>
          <w:color w:val="EA4E00"/>
          <w:sz w:val="22"/>
          <w:szCs w:val="22"/>
        </w:rPr>
        <w:t xml:space="preserve">12. RESPONSABILITÉ</w:t>
      </w:r>
    </w:p>
    <w:p>
      <w:pPr>
        <w:keepNext w:val="false"/>
        <w:spacing w:after="120"/>
        <w:jc w:val="both"/>
      </w:pPr>
      <w:r>
        <w:rPr>
          <w:rFonts w:ascii="Arial" w:cs="Arial" w:eastAsia="Arial" w:hAnsi="Arial"/>
          <w:b w:val="false"/>
          <w:bCs w:val="false"/>
          <w:i w:val="false"/>
          <w:iCs w:val="false"/>
          <w:color w:val="000000"/>
          <w:sz w:val="20"/>
          <w:szCs w:val="20"/>
        </w:rPr>
        <w:t xml:space="preserve">12.1 Pendant la période où ce contrat est en vigueur, nous souscrirons une assurance accidents du travail et une assurance de responsabilité civile.</w:t>
      </w:r>
    </w:p>
    <w:p>
      <w:pPr>
        <w:keepNext w:val="false"/>
        <w:spacing w:after="120"/>
        <w:jc w:val="both"/>
      </w:pPr>
      <w:r>
        <w:rPr>
          <w:rFonts w:ascii="Arial" w:cs="Arial" w:eastAsia="Arial" w:hAnsi="Arial"/>
          <w:b w:val="false"/>
          <w:bCs w:val="false"/>
          <w:i w:val="false"/>
          <w:iCs w:val="false"/>
          <w:color w:val="000000"/>
          <w:sz w:val="20"/>
          <w:szCs w:val="20"/>
        </w:rPr>
        <w:t xml:space="preserve">12.2 La portée de notre travail ne comprendra pas de conseils sur les répercussions commerciales d'un projet, sur des problèmes financiers ou comptables.</w:t>
      </w:r>
    </w:p>
    <w:p>
      <w:pPr>
        <w:keepNext w:val="false"/>
        <w:spacing w:after="120"/>
        <w:jc w:val="both"/>
      </w:pPr>
      <w:r>
        <w:rPr>
          <w:rFonts w:ascii="Arial" w:cs="Arial" w:eastAsia="Arial" w:hAnsi="Arial"/>
          <w:b w:val="false"/>
          <w:bCs w:val="false"/>
          <w:i w:val="false"/>
          <w:iCs w:val="false"/>
          <w:color w:val="000000"/>
          <w:sz w:val="20"/>
          <w:szCs w:val="20"/>
        </w:rPr>
        <w:t xml:space="preserve">12.3 Notre conseil est spécifique à votre situation. Nous nous dégageons de toute responsabilité vis-à-vis de toute personne à qui notre conseil ne s'adresse pas.</w:t>
      </w:r>
    </w:p>
    <w:p>
      <w:pPr>
        <w:keepNext w:val="false"/>
        <w:spacing w:after="120"/>
        <w:jc w:val="both"/>
      </w:pPr>
      <w:r>
        <w:rPr>
          <w:rFonts w:ascii="Arial" w:cs="Arial" w:eastAsia="Arial" w:hAnsi="Arial"/>
          <w:b/>
          <w:bCs/>
          <w:i w:val="false"/>
          <w:iCs w:val="false"/>
          <w:color w:val="EA4E00"/>
          <w:sz w:val="22"/>
          <w:szCs w:val="22"/>
        </w:rPr>
        <w:t xml:space="preserve">13. PROCÉDURE DE PLAINTE</w:t>
      </w:r>
    </w:p>
    <w:p>
      <w:pPr>
        <w:keepNext w:val="false"/>
        <w:spacing w:after="120"/>
        <w:jc w:val="both"/>
      </w:pPr>
      <w:r>
        <w:rPr>
          <w:rFonts w:ascii="Arial" w:cs="Arial" w:eastAsia="Arial" w:hAnsi="Arial"/>
          <w:b w:val="false"/>
          <w:bCs w:val="false"/>
          <w:i w:val="false"/>
          <w:iCs w:val="false"/>
          <w:color w:val="000000"/>
          <w:sz w:val="20"/>
          <w:szCs w:val="20"/>
        </w:rPr>
        <w:t xml:space="preserve">13.1 Le bureau d'études s'engage à fournir un service de haute qualité. Tous les litiges auxquels le marché pourra donner lieu seront, dans toute la mesure du possible, résolus amiablement, et éventuellement par voie d'arbitrage. Les litiges sont portés devant les tribunaux de Saint-Denis La Réunion. Le droit applicable est le droit français.</w:t>
      </w:r>
    </w:p>
    <w:p>
      <w:pPr>
        <w:keepNext w:val="false"/>
        <w:spacing w:after="120"/>
        <w:jc w:val="both"/>
      </w:pPr>
      <w:r>
        <w:rPr>
          <w:rFonts w:ascii="Arial" w:cs="Arial" w:eastAsia="Arial" w:hAnsi="Arial"/>
          <w:b w:val="false"/>
          <w:bCs w:val="false"/>
          <w:i w:val="false"/>
          <w:iCs w:val="false"/>
          <w:color w:val="000000"/>
          <w:sz w:val="20"/>
          <w:szCs w:val="20"/>
        </w:rPr>
        <w:t xml:space="preserve">13.2 En cas de demande ou de plainte concernant notre service, veuillez contacter sans délai le consultant responsable mentionné dans le contrat.</w:t>
      </w:r>
    </w:p>
    <w:p>
      <w:pPr>
        <w:keepNext w:val="false"/>
        <w:spacing w:after="120"/>
        <w:jc w:val="both"/>
      </w:pPr>
      <w:r>
        <w:rPr>
          <w:rFonts w:ascii="Arial" w:cs="Arial" w:eastAsia="Arial" w:hAnsi="Arial"/>
          <w:b/>
          <w:bCs/>
          <w:i w:val="false"/>
          <w:iCs w:val="false"/>
          <w:color w:val="EA4E00"/>
          <w:sz w:val="22"/>
          <w:szCs w:val="22"/>
        </w:rPr>
        <w:t xml:space="preserve">14. RÉSILIATION</w:t>
      </w:r>
    </w:p>
    <w:p>
      <w:pPr>
        <w:keepNext w:val="false"/>
        <w:spacing w:after="120"/>
        <w:jc w:val="both"/>
      </w:pPr>
      <w:r>
        <w:rPr>
          <w:rFonts w:ascii="Arial" w:cs="Arial" w:eastAsia="Arial" w:hAnsi="Arial"/>
          <w:b w:val="false"/>
          <w:bCs w:val="false"/>
          <w:i w:val="false"/>
          <w:iCs w:val="false"/>
          <w:color w:val="000000"/>
          <w:sz w:val="20"/>
          <w:szCs w:val="20"/>
        </w:rPr>
        <w:t xml:space="preserve">14.1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pPr>
        <w:keepNext w:val="false"/>
        <w:spacing w:after="120"/>
        <w:jc w:val="both"/>
      </w:pPr>
      <w:r>
        <w:rPr>
          <w:rFonts w:ascii="Arial" w:cs="Arial" w:eastAsia="Arial" w:hAnsi="Arial"/>
          <w:b w:val="false"/>
          <w:bCs w:val="false"/>
          <w:i w:val="false"/>
          <w:iCs w:val="false"/>
          <w:color w:val="000000"/>
          <w:sz w:val="20"/>
          <w:szCs w:val="20"/>
        </w:rPr>
        <w:t xml:space="preserve">14.2 La résiliation n'altèrera pas notre droit à obtenir le règlement du travail effectué jusqu'à la date de résiliation.</w:t>
      </w:r>
    </w:p>
    <w:p>
      <w:pPr>
        <w:keepNext w:val="false"/>
        <w:spacing w:after="120"/>
        <w:jc w:val="both"/>
      </w:pPr>
      <w:r>
        <w:rPr>
          <w:rFonts w:ascii="Arial" w:cs="Arial" w:eastAsia="Arial" w:hAnsi="Arial"/>
          <w:b/>
          <w:bCs/>
          <w:i w:val="false"/>
          <w:iCs w:val="false"/>
          <w:color w:val="EA4E00"/>
          <w:sz w:val="22"/>
          <w:szCs w:val="22"/>
        </w:rPr>
        <w:t xml:space="preserve">15. GÉNÉRALITÉS</w:t>
      </w:r>
    </w:p>
    <w:p>
      <w:pPr>
        <w:keepNext w:val="false"/>
        <w:spacing w:after="120"/>
        <w:jc w:val="both"/>
      </w:pPr>
      <w:r>
        <w:rPr>
          <w:rFonts w:ascii="Arial" w:cs="Arial" w:eastAsia="Arial" w:hAnsi="Arial"/>
          <w:b w:val="false"/>
          <w:bCs w:val="false"/>
          <w:i w:val="false"/>
          <w:iCs w:val="false"/>
          <w:color w:val="000000"/>
          <w:sz w:val="20"/>
          <w:szCs w:val="20"/>
        </w:rPr>
        <w:t xml:space="preserve">15.1 Les présentes conditions générales, de même que nos services, sont régis par le droit français et vous comme nous sommes irrévocablement assujettis à la compétence des tribunaux français.</w:t>
      </w:r>
    </w:p>
    <w:p>
      <w:pPr>
        <w:keepNext w:val="false"/>
        <w:spacing w:after="120"/>
        <w:jc w:val="both"/>
      </w:pPr>
      <w:r>
        <w:rPr>
          <w:rFonts w:ascii="Arial" w:cs="Arial" w:eastAsia="Arial" w:hAnsi="Arial"/>
          <w:b w:val="false"/>
          <w:bCs w:val="false"/>
          <w:i w:val="false"/>
          <w:iCs w:val="false"/>
          <w:color w:val="000000"/>
          <w:sz w:val="20"/>
          <w:szCs w:val="20"/>
        </w:rPr>
        <w:t xml:space="preserve">15.2 La mention « vous » ou notre « client » renvoie à nos clients, tels qu'identifiés dans la lettre que nous vous avons adressée ou dans toute autre communication écrite.</w:t>
      </w:r>
    </w:p>
    <w:p>
      <w:pPr>
        <w:keepNext w:val="false"/>
        <w:spacing w:after="120"/>
        <w:jc w:val="both"/>
      </w:pPr>
      <w:r>
        <w:rPr>
          <w:rFonts w:ascii="Arial" w:cs="Arial" w:eastAsia="Arial" w:hAnsi="Arial"/>
          <w:b w:val="false"/>
          <w:bCs w:val="false"/>
          <w:i w:val="false"/>
          <w:iCs w:val="false"/>
          <w:color w:val="000000"/>
          <w:sz w:val="20"/>
          <w:szCs w:val="20"/>
        </w:rPr>
        <w:t xml:space="preserve">15.3 Si l'une des dispositions des présentes conditions est considérée nulle ou inapplicable, l'intégralité des autres dispositions restera en vigueur et de plein effet.</w:t>
      </w:r>
    </w:p>
    <w:sectPr>
      <w:headerReference w:type="default" r:id="rId7"/>
      <w:footerReference w:type="default" r:id="rId8"/>
      <w:pgSz w:w="11906" w:h="16838" w:orient="portrait"/>
      <w:pgMar w:top="1700"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DAE" w:sz="6" w:space="0"/>
      </w:pBdr>
      <w:tabs>
        <w:tab w:val="center" w:pos="4500"/>
        <w:tab w:val="right" w:pos="9026"/>
      </w:tabs>
      <w:spacing w:before="80"/>
    </w:pPr>
    <w:r>
      <w:rPr>
        <w:rFonts w:ascii="Arial" w:cs="Arial" w:eastAsia="Arial" w:hAnsi="Arial"/>
        <w:color w:val="8E9DAE"/>
        <w:sz w:val="16"/>
        <w:szCs w:val="16"/>
      </w:rPr>
      <w:t xml:space="preserve">LVO-INGENIERIE — LVO-MM-26103 — Offre de Service — Centre administratif du Port</w:t>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vAlign w:val="center"/>
        </w:tcPr>
        <w:p>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tc>
      <w:tc>
        <w:tcPr>
          <w:tcW w:type="dxa" w:w="5526"/>
          <w:vAlign w:val="center"/>
        </w:tcPr>
        <w:p>
          <w:pPr>
            <w:jc w:val="right"/>
          </w:pPr>
          <w:r>
            <w:rPr>
              <w:rFonts w:ascii="Arial" w:cs="Arial" w:eastAsia="Arial" w:hAnsi="Arial"/>
              <w:color w:val="8E9DAE"/>
              <w:sz w:val="16"/>
              <w:szCs w:val="16"/>
            </w:rPr>
            <w:t xml:space="preserve">Centre d'affaires CADJEE — 62 Bd du Chaudron</w:t>
          </w:r>
        </w:p>
        <w:p>
          <w:pPr>
            <w:jc w:val="right"/>
          </w:pPr>
          <w:r>
            <w:rPr>
              <w:rFonts w:ascii="Arial" w:cs="Arial" w:eastAsia="Arial" w:hAnsi="Arial"/>
              <w:color w:val="8E9DAE"/>
              <w:sz w:val="16"/>
              <w:szCs w:val="16"/>
            </w:rPr>
            <w:t xml:space="preserve">97491 Saint-Denis La Réunion  |  Tél : 06 92 05 39 52</w:t>
          </w:r>
        </w:p>
        <w:p>
          <w:pPr>
            <w:jc w:val="right"/>
          </w:pPr>
          <w:r>
            <w:rPr>
              <w:rFonts w:ascii="Arial" w:cs="Arial" w:eastAsia="Arial" w:hAnsi="Arial"/>
              <w:color w:val="FF6B00"/>
              <w:sz w:val="16"/>
              <w:szCs w:val="16"/>
            </w:rPr>
            <w:t xml:space="preserve">hatem.lembarki@lvo-ing.com</w:t>
          </w:r>
        </w:p>
      </w:tc>
    </w:tr>
  </w:tbl>
  <w:p>
    <w:pPr>
      <w:pBdr>
        <w:bottom w:val="single" w:color="1A2B4C" w:sz="12" w:space="0"/>
      </w:pBd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d65ead14db9d627431505d4a3f03582223e9e.jpg"/><Relationship Id="rId10" Type="http://schemas.openxmlformats.org/officeDocument/2006/relationships/image" Target="media/40a0260124f9fa3b7ed1a57f9fbe08f5184c3cd4.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5d65ead14db9d627431505d4a3f03582223e9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2026-09-25T13:24:00.551Z</dcterms:created>
  <dcterms:modified xsi:type="dcterms:W3CDTF">2026-09-25T13:24:00.551Z</dcterms:modified>
</cp:coreProperties>
</file>

<file path=docProps/custom.xml><?xml version="1.0" encoding="utf-8"?>
<Properties xmlns="http://schemas.openxmlformats.org/officeDocument/2006/custom-properties" xmlns:vt="http://schemas.openxmlformats.org/officeDocument/2006/docPropsVTypes"/>
</file>