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Maîtrise d'Œuvre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Hôtel de Région</w:t>
            </w:r>
            <w:r>
              <w:br/>
              <w:t xml:space="preserve"/>
            </w:r>
            <w:r>
              <w:rPr>
                <w:rFonts w:ascii="Arial" w:cs="Arial" w:eastAsia="Arial" w:hAnsi="Arial"/>
                <w:b w:val="false"/>
                <w:bCs w:val="false"/>
                <w:color w:val="8E9DAE"/>
                <w:sz w:val="22"/>
                <w:szCs w:val="22"/>
              </w:rPr>
              <w:t xml:space="preserve">Avenue René Cassin, 97490 Sainte-Clotilde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Région Réunion</w:t>
            </w:r>
            <w:r>
              <w:br/>
              <w:t xml:space="preserve"/>
            </w:r>
            <w:r>
              <w:rPr>
                <w:rFonts w:ascii="Arial" w:cs="Arial" w:eastAsia="Arial" w:hAnsi="Arial"/>
                <w:b w:val="false"/>
                <w:bCs w:val="false"/>
                <w:color w:val="333333"/>
                <w:sz w:val="19"/>
                <w:szCs w:val="19"/>
              </w:rPr>
              <w:t xml:space="preserve">Direction du Patrimoine Immobilier</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Thomas LAURET (Chef de projet)</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LVO-MOE-26104</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Région Réunion</w:t>
      </w:r>
    </w:p>
    <w:p>
      <w:pPr>
        <w:keepNext w:val="false"/>
        <w:spacing w:after="120"/>
        <w:jc w:val="both"/>
      </w:pPr>
      <w:r>
        <w:rPr>
          <w:rFonts w:ascii="Arial" w:cs="Arial" w:eastAsia="Arial" w:hAnsi="Arial"/>
          <w:b w:val="false"/>
          <w:bCs w:val="false"/>
          <w:i w:val="false"/>
          <w:iCs w:val="false"/>
          <w:color w:val="000000"/>
          <w:sz w:val="20"/>
          <w:szCs w:val="20"/>
        </w:rPr>
        <w:t xml:space="preserve">Direction du Patrimoine Immobilier</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Thomas LAURET (Chef de projet)</w:t>
      </w:r>
    </w:p>
    <w:p/>
    <w:p>
      <w:pPr>
        <w:keepNext w:val="false"/>
        <w:spacing w:after="120"/>
        <w:jc w:val="both"/>
      </w:pPr>
      <w:r>
        <w:rPr>
          <w:rFonts w:ascii="Arial" w:cs="Arial" w:eastAsia="Arial" w:hAnsi="Arial"/>
          <w:b/>
          <w:bCs/>
          <w:i w:val="false"/>
          <w:iCs w:val="false"/>
          <w:color w:val="000000"/>
          <w:sz w:val="20"/>
          <w:szCs w:val="20"/>
        </w:rPr>
        <w:t xml:space="preserve">Réf : LVO-MOE-26104</w:t>
      </w:r>
    </w:p>
    <w:p>
      <w:pPr>
        <w:keepNext w:val="false"/>
        <w:spacing w:after="120"/>
        <w:jc w:val="both"/>
      </w:pPr>
      <w:r>
        <w:rPr>
          <w:rFonts w:ascii="Arial" w:cs="Arial" w:eastAsia="Arial" w:hAnsi="Arial"/>
          <w:b/>
          <w:bCs/>
          <w:i w:val="false"/>
          <w:iCs w:val="false"/>
          <w:color w:val="000000"/>
          <w:sz w:val="20"/>
          <w:szCs w:val="20"/>
        </w:rPr>
        <w:t xml:space="preserve">Objet : Hôtel de Région - Avenue René Cassin, 97490 Sainte-Clotilde</w:t>
      </w:r>
    </w:p>
    <w:p/>
    <w:p>
      <w:pPr>
        <w:keepNext w:val="false"/>
        <w:spacing w:after="120"/>
        <w:jc w:val="both"/>
      </w:pPr>
      <w:r>
        <w:rPr>
          <w:rFonts w:ascii="Arial" w:cs="Arial" w:eastAsia="Arial" w:hAnsi="Arial"/>
          <w:b/>
          <w:bCs/>
          <w:i w:val="false"/>
          <w:iCs w:val="false"/>
          <w:color w:val="000000"/>
          <w:sz w:val="20"/>
          <w:szCs w:val="20"/>
        </w:rPr>
        <w:t xml:space="preserve">Mission : Maîtrise d'Œuvre</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Hôtel de Région situé Avenue René Cassin, 97490 Sainte-Clotilde, comme indiqué ci-après.</w:t>
      </w:r>
    </w:p>
    <w:p/>
    <w:p>
      <w:pPr>
        <w:keepNext w:val="false"/>
        <w:spacing w:after="120"/>
        <w:jc w:val="both"/>
      </w:pPr>
      <w:r>
        <w:rPr>
          <w:rFonts w:ascii="Arial" w:cs="Arial" w:eastAsia="Arial" w:hAnsi="Arial"/>
          <w:b/>
          <w:bCs/>
          <w:i w:val="false"/>
          <w:iCs w:val="false"/>
          <w:color w:val="EA4E00"/>
          <w:sz w:val="22"/>
          <w:szCs w:val="22"/>
        </w:rPr>
        <w:t xml:space="preserve">Phase 1 : Avant-Projet</w:t>
      </w:r>
    </w:p>
    <w:p>
      <w:pPr>
        <w:spacing w:after="60"/>
        <w:ind w:left="360"/>
      </w:pPr>
      <w:r>
        <w:rPr>
          <w:rFonts w:ascii="Arial" w:cs="Arial" w:eastAsia="Arial" w:hAnsi="Arial"/>
          <w:sz w:val="20"/>
          <w:szCs w:val="20"/>
        </w:rPr>
        <w:t xml:space="preserve">• 1. Relevé sur site des équipements et leurs environnement.</w:t>
      </w:r>
    </w:p>
    <w:p>
      <w:pPr>
        <w:spacing w:after="60"/>
        <w:ind w:left="360"/>
      </w:pPr>
      <w:r>
        <w:rPr>
          <w:rFonts w:ascii="Arial" w:cs="Arial" w:eastAsia="Arial" w:hAnsi="Arial"/>
          <w:sz w:val="20"/>
          <w:szCs w:val="20"/>
        </w:rPr>
        <w:t xml:space="preserve">• 2. Analyser les données du cahier de programmation du client et définir les données de base du projet de transport vertical, avec le Maître d'Ouvrage et les autres membres de l'équipe de conception.</w:t>
      </w:r>
    </w:p>
    <w:p>
      <w:pPr>
        <w:spacing w:after="60"/>
        <w:ind w:left="360"/>
      </w:pPr>
      <w:r>
        <w:rPr>
          <w:rFonts w:ascii="Arial" w:cs="Arial" w:eastAsia="Arial" w:hAnsi="Arial"/>
          <w:sz w:val="20"/>
          <w:szCs w:val="20"/>
        </w:rPr>
        <w:t xml:space="preserve">• 3. Fournir un rapport d'analyse établissant les critères principaux et nos suggestions pour optimiser le trafic ascenseurs, les performances à atteindre. Ce rapport traitera notamment des points suivants :</w:t>
      </w:r>
    </w:p>
    <w:p>
      <w:pPr>
        <w:spacing w:after="60"/>
        <w:ind w:left="360"/>
      </w:pPr>
      <w:r>
        <w:rPr>
          <w:rFonts w:ascii="Arial" w:cs="Arial" w:eastAsia="Arial" w:hAnsi="Arial"/>
          <w:sz w:val="20"/>
          <w:szCs w:val="20"/>
        </w:rPr>
        <w:t xml:space="preserve">• 4. Notes comparatives sur les différentes technologies pouvant être mises en œuvre sur le projet avec les avantages et les inconvénients (techniques et financiers) de chaque solution envisagée.</w:t>
      </w:r>
    </w:p>
    <w:p>
      <w:pPr>
        <w:spacing w:after="60"/>
        <w:ind w:left="360"/>
      </w:pPr>
      <w:r>
        <w:rPr>
          <w:rFonts w:ascii="Arial" w:cs="Arial" w:eastAsia="Arial" w:hAnsi="Arial"/>
          <w:sz w:val="20"/>
          <w:szCs w:val="20"/>
        </w:rPr>
        <w:t xml:space="preserve">• 5. Les grandes lignes et le descriptif technique des équipements retenus.</w:t>
      </w:r>
    </w:p>
    <w:p>
      <w:pPr>
        <w:spacing w:after="60"/>
        <w:ind w:left="360"/>
      </w:pPr>
      <w:r>
        <w:rPr>
          <w:rFonts w:ascii="Arial" w:cs="Arial" w:eastAsia="Arial" w:hAnsi="Arial"/>
          <w:sz w:val="20"/>
          <w:szCs w:val="20"/>
        </w:rPr>
        <w:t xml:space="preserve">• 6. Recommandations en terme de protection liée à l'environnement des équipements.</w:t>
      </w:r>
    </w:p>
    <w:p>
      <w:pPr>
        <w:spacing w:after="60"/>
        <w:ind w:left="360"/>
      </w:pPr>
      <w:r>
        <w:rPr>
          <w:rFonts w:ascii="Arial" w:cs="Arial" w:eastAsia="Arial" w:hAnsi="Arial"/>
          <w:sz w:val="20"/>
          <w:szCs w:val="20"/>
        </w:rPr>
        <w:t xml:space="preserve">• 7. Mettre à jour les estimations budgétaires et de planifications.</w:t>
      </w:r>
    </w:p>
    <w:p>
      <w:pPr>
        <w:spacing w:after="60"/>
        <w:ind w:left="360"/>
      </w:pPr>
      <w:r>
        <w:rPr>
          <w:rFonts w:ascii="Arial" w:cs="Arial" w:eastAsia="Arial" w:hAnsi="Arial"/>
          <w:sz w:val="20"/>
          <w:szCs w:val="20"/>
        </w:rPr>
        <w:t xml:space="preserve">• 8. Participer à une réunion de présentation de l'avant-projet.</w:t>
      </w:r>
    </w:p>
    <w:p>
      <w:pPr>
        <w:keepNext w:val="false"/>
        <w:spacing w:after="120"/>
        <w:jc w:val="both"/>
      </w:pPr>
      <w:r>
        <w:rPr>
          <w:rFonts w:ascii="Arial" w:cs="Arial" w:eastAsia="Arial" w:hAnsi="Arial"/>
          <w:b/>
          <w:bCs/>
          <w:i w:val="false"/>
          <w:iCs w:val="false"/>
          <w:color w:val="EA4E00"/>
          <w:sz w:val="22"/>
          <w:szCs w:val="22"/>
        </w:rPr>
        <w:t xml:space="preserve">Phase 2 : Appel d'offres : DCE</w:t>
      </w:r>
    </w:p>
    <w:p>
      <w:pPr>
        <w:keepNext w:val="false"/>
        <w:spacing w:after="120"/>
        <w:jc w:val="both"/>
      </w:pPr>
      <w:r>
        <w:rPr>
          <w:rFonts w:ascii="Arial" w:cs="Arial" w:eastAsia="Arial" w:hAnsi="Arial"/>
          <w:b w:val="false"/>
          <w:bCs w:val="false"/>
          <w:i w:val="false"/>
          <w:iCs w:val="false"/>
          <w:color w:val="000000"/>
          <w:sz w:val="20"/>
          <w:szCs w:val="20"/>
        </w:rPr>
        <w:t xml:space="preserve">Fournir un dossier de consultation complet qui comprendra :</w:t>
      </w:r>
    </w:p>
    <w:p>
      <w:pPr>
        <w:spacing w:after="60"/>
        <w:ind w:left="360"/>
      </w:pPr>
      <w:r>
        <w:rPr>
          <w:rFonts w:ascii="Arial" w:cs="Arial" w:eastAsia="Arial" w:hAnsi="Arial"/>
          <w:sz w:val="20"/>
          <w:szCs w:val="20"/>
        </w:rPr>
        <w:t xml:space="preserve">• 1. Les spécifications complètes et détaillées en reprenant la construction du document Avant-Projet.</w:t>
      </w:r>
    </w:p>
    <w:p>
      <w:pPr>
        <w:spacing w:after="60"/>
        <w:ind w:left="360"/>
      </w:pPr>
      <w:r>
        <w:rPr>
          <w:rFonts w:ascii="Arial" w:cs="Arial" w:eastAsia="Arial" w:hAnsi="Arial"/>
          <w:sz w:val="20"/>
          <w:szCs w:val="20"/>
        </w:rPr>
        <w:t xml:space="preserve">• 2. Un bordereau de remise de prix (DPGF).</w:t>
      </w:r>
    </w:p>
    <w:p>
      <w:pPr>
        <w:spacing w:after="60"/>
        <w:ind w:left="360"/>
      </w:pPr>
      <w:r>
        <w:rPr>
          <w:rFonts w:ascii="Arial" w:cs="Arial" w:eastAsia="Arial" w:hAnsi="Arial"/>
          <w:sz w:val="20"/>
          <w:szCs w:val="20"/>
        </w:rPr>
        <w:t xml:space="preserve">• 3. Un planning et la procédure d'appel d'offres.</w:t>
      </w:r>
    </w:p>
    <w:p>
      <w:pPr>
        <w:spacing w:after="60"/>
        <w:ind w:left="360"/>
      </w:pPr>
      <w:r>
        <w:rPr>
          <w:rFonts w:ascii="Arial" w:cs="Arial" w:eastAsia="Arial" w:hAnsi="Arial"/>
          <w:sz w:val="20"/>
          <w:szCs w:val="20"/>
        </w:rPr>
        <w:t xml:space="preserve">• 4. Les documents d'appel d'offres seront conçus pour encourager une saine compétition.</w:t>
      </w:r>
    </w:p>
    <w:p>
      <w:pPr>
        <w:spacing w:after="60" w:before="120"/>
      </w:pPr>
      <w:r>
        <w:rPr>
          <w:rFonts w:ascii="Arial" w:cs="Arial" w:eastAsia="Arial" w:hAnsi="Arial"/>
          <w:b/>
          <w:bCs/>
          <w:color w:val="EA4E00"/>
          <w:sz w:val="20"/>
          <w:szCs w:val="20"/>
        </w:rPr>
        <w:t xml:space="preserve">Négociation : AMT</w:t>
      </w:r>
    </w:p>
    <w:p>
      <w:pPr>
        <w:keepNext w:val="false"/>
        <w:spacing w:after="120"/>
        <w:jc w:val="both"/>
      </w:pPr>
      <w:r>
        <w:rPr>
          <w:rFonts w:ascii="Arial" w:cs="Arial" w:eastAsia="Arial" w:hAnsi="Arial"/>
          <w:b w:val="false"/>
          <w:bCs w:val="false"/>
          <w:i w:val="false"/>
          <w:iCs w:val="false"/>
          <w:color w:val="000000"/>
          <w:sz w:val="20"/>
          <w:szCs w:val="20"/>
        </w:rPr>
        <w:t xml:space="preserve">Fournir une assistance sur tout point relatif à l'appel d'offre. Une telle assistance comprend :</w:t>
      </w:r>
    </w:p>
    <w:p>
      <w:pPr>
        <w:spacing w:after="60"/>
        <w:ind w:left="360"/>
      </w:pPr>
      <w:r>
        <w:rPr>
          <w:rFonts w:ascii="Arial" w:cs="Arial" w:eastAsia="Arial" w:hAnsi="Arial"/>
          <w:sz w:val="20"/>
          <w:szCs w:val="20"/>
        </w:rPr>
        <w:t xml:space="preserve">• 1. Consultations sur les procédures d'appel d'offres.</w:t>
      </w:r>
    </w:p>
    <w:p>
      <w:pPr>
        <w:spacing w:after="60"/>
        <w:ind w:left="360"/>
      </w:pPr>
      <w:r>
        <w:rPr>
          <w:rFonts w:ascii="Arial" w:cs="Arial" w:eastAsia="Arial" w:hAnsi="Arial"/>
          <w:sz w:val="20"/>
          <w:szCs w:val="20"/>
        </w:rPr>
        <w:t xml:space="preserve">• 2. Évaluation des soumissions, clarifications des réserves et ambiguïtés des soumissions, présenter des recommandations.</w:t>
      </w:r>
    </w:p>
    <w:p>
      <w:pPr>
        <w:spacing w:after="60"/>
        <w:ind w:left="360"/>
      </w:pPr>
      <w:r>
        <w:rPr>
          <w:rFonts w:ascii="Arial" w:cs="Arial" w:eastAsia="Arial" w:hAnsi="Arial"/>
          <w:sz w:val="20"/>
          <w:szCs w:val="20"/>
        </w:rPr>
        <w:t xml:space="preserve">• 3. Assister et mener les réunions d'examen des offres soumises.</w:t>
      </w:r>
    </w:p>
    <w:p>
      <w:pPr>
        <w:spacing w:after="60"/>
        <w:ind w:left="360"/>
      </w:pPr>
      <w:r>
        <w:rPr>
          <w:rFonts w:ascii="Arial" w:cs="Arial" w:eastAsia="Arial" w:hAnsi="Arial"/>
          <w:sz w:val="20"/>
          <w:szCs w:val="20"/>
        </w:rPr>
        <w:t xml:space="preserve">• 4. Participer à la négociation si nécessaire.</w:t>
      </w:r>
    </w:p>
    <w:p>
      <w:pPr>
        <w:keepNext w:val="false"/>
        <w:spacing w:after="120"/>
        <w:jc w:val="both"/>
      </w:pPr>
      <w:r>
        <w:rPr>
          <w:rFonts w:ascii="Arial" w:cs="Arial" w:eastAsia="Arial" w:hAnsi="Arial"/>
          <w:b/>
          <w:bCs/>
          <w:i w:val="false"/>
          <w:iCs w:val="false"/>
          <w:color w:val="EA4E00"/>
          <w:sz w:val="22"/>
          <w:szCs w:val="22"/>
        </w:rPr>
        <w:t xml:space="preserve">Phase 3 : Exécution &amp; Travaux : DET</w:t>
      </w:r>
    </w:p>
    <w:p>
      <w:pPr>
        <w:keepNext w:val="false"/>
        <w:spacing w:after="120"/>
        <w:jc w:val="both"/>
      </w:pPr>
      <w:r>
        <w:rPr>
          <w:rFonts w:ascii="Arial" w:cs="Arial" w:eastAsia="Arial" w:hAnsi="Arial"/>
          <w:b w:val="false"/>
          <w:bCs w:val="false"/>
          <w:i w:val="false"/>
          <w:iCs w:val="false"/>
          <w:color w:val="000000"/>
          <w:sz w:val="20"/>
          <w:szCs w:val="20"/>
        </w:rPr>
        <w:t xml:space="preserve">La direction de l'exécution des travaux porte sur le contrôle du respect entre les documents d'exécution et les prescriptions du marché, dans ses aspects qualitatifs, financiers et des délais.</w:t>
      </w:r>
    </w:p>
    <w:p>
      <w:pPr>
        <w:spacing w:after="60"/>
        <w:ind w:left="360"/>
      </w:pPr>
      <w:r>
        <w:rPr>
          <w:rFonts w:ascii="Arial" w:cs="Arial" w:eastAsia="Arial" w:hAnsi="Arial"/>
          <w:sz w:val="20"/>
          <w:szCs w:val="20"/>
        </w:rPr>
        <w:t xml:space="preserve">• 1. Organisation et direction des réunions de chantier,</w:t>
      </w:r>
    </w:p>
    <w:p>
      <w:pPr>
        <w:spacing w:after="60"/>
        <w:ind w:left="360"/>
      </w:pPr>
      <w:r>
        <w:rPr>
          <w:rFonts w:ascii="Arial" w:cs="Arial" w:eastAsia="Arial" w:hAnsi="Arial"/>
          <w:sz w:val="20"/>
          <w:szCs w:val="20"/>
        </w:rPr>
        <w:t xml:space="preserve">• 2. Établissement et diffusion des comptes rendus, information du maître d'ouvrage sur l'état d'avancement général des travaux à partir du planning général,</w:t>
      </w:r>
    </w:p>
    <w:p>
      <w:pPr>
        <w:spacing w:after="60"/>
        <w:ind w:left="360"/>
      </w:pPr>
      <w:r>
        <w:rPr>
          <w:rFonts w:ascii="Arial" w:cs="Arial" w:eastAsia="Arial" w:hAnsi="Arial"/>
          <w:sz w:val="20"/>
          <w:szCs w:val="20"/>
        </w:rPr>
        <w:t xml:space="preserve">• 3. Refus des matériaux non-conformes ou défectueux et s'assurer de leur remplacement,</w:t>
      </w:r>
    </w:p>
    <w:p>
      <w:pPr>
        <w:spacing w:after="60"/>
        <w:ind w:left="360"/>
      </w:pPr>
      <w:r>
        <w:rPr>
          <w:rFonts w:ascii="Arial" w:cs="Arial" w:eastAsia="Arial" w:hAnsi="Arial"/>
          <w:sz w:val="20"/>
          <w:szCs w:val="20"/>
        </w:rPr>
        <w:t xml:space="preserve">• 4. Contrôle de façon permanente l'avancement de travaux par rapport au calendrier,</w:t>
      </w:r>
    </w:p>
    <w:p>
      <w:pPr>
        <w:spacing w:after="60"/>
        <w:ind w:left="360"/>
      </w:pPr>
      <w:r>
        <w:rPr>
          <w:rFonts w:ascii="Arial" w:cs="Arial" w:eastAsia="Arial" w:hAnsi="Arial"/>
          <w:sz w:val="20"/>
          <w:szCs w:val="20"/>
        </w:rPr>
        <w:t xml:space="preserve">• 5. Synthèse des choix des matériaux, échantillons ou coloris à valider par le maître d'ouvrage.</w:t>
      </w:r>
    </w:p>
    <w:p>
      <w:pPr>
        <w:spacing w:after="60" w:before="120"/>
      </w:pPr>
      <w:r>
        <w:rPr>
          <w:rFonts w:ascii="Arial" w:cs="Arial" w:eastAsia="Arial" w:hAnsi="Arial"/>
          <w:b/>
          <w:bCs/>
          <w:color w:val="EA4E00"/>
          <w:sz w:val="20"/>
          <w:szCs w:val="20"/>
        </w:rPr>
        <w:t xml:space="preserve">Gestion financière et administrative</w:t>
      </w:r>
    </w:p>
    <w:p>
      <w:pPr>
        <w:spacing w:after="60"/>
        <w:ind w:left="360"/>
      </w:pPr>
      <w:r>
        <w:rPr>
          <w:rFonts w:ascii="Arial" w:cs="Arial" w:eastAsia="Arial" w:hAnsi="Arial"/>
          <w:sz w:val="20"/>
          <w:szCs w:val="20"/>
        </w:rPr>
        <w:t xml:space="preserve">• 1. Notification de recommandation au maître d'ouvrage sur les réserves éventuellement formulées par l'entreprise retenue en cours d'exécution des travaux et sur le décompte général,</w:t>
      </w:r>
    </w:p>
    <w:p>
      <w:pPr>
        <w:spacing w:after="60"/>
        <w:ind w:left="360"/>
      </w:pPr>
      <w:r>
        <w:rPr>
          <w:rFonts w:ascii="Arial" w:cs="Arial" w:eastAsia="Arial" w:hAnsi="Arial"/>
          <w:sz w:val="20"/>
          <w:szCs w:val="20"/>
        </w:rPr>
        <w:t xml:space="preserve">• 2. Assister le maître d'ouvrage en cas de litige sur l'exécution ou le règlement des travaux,</w:t>
      </w:r>
    </w:p>
    <w:p>
      <w:pPr>
        <w:spacing w:after="60"/>
        <w:ind w:left="360"/>
      </w:pPr>
      <w:r>
        <w:rPr>
          <w:rFonts w:ascii="Arial" w:cs="Arial" w:eastAsia="Arial" w:hAnsi="Arial"/>
          <w:sz w:val="20"/>
          <w:szCs w:val="20"/>
        </w:rPr>
        <w:t xml:space="preserve">• 3. Vérifier les factures d'acomptes travaux, décomptes mensuels et finaux,</w:t>
      </w:r>
    </w:p>
    <w:p>
      <w:pPr>
        <w:spacing w:after="60"/>
        <w:ind w:left="360"/>
      </w:pPr>
      <w:r>
        <w:rPr>
          <w:rFonts w:ascii="Arial" w:cs="Arial" w:eastAsia="Arial" w:hAnsi="Arial"/>
          <w:sz w:val="20"/>
          <w:szCs w:val="20"/>
        </w:rPr>
        <w:t xml:space="preserve">• 4. Le maître d'œuvre procède, au cours des travaux, à la vérification des projets de décomptes mensuels établis par l'entreprise retenue et qui lui sont transmis par lettre recommandée avec avis de réception postal ou remis contre récépissé.</w:t>
      </w:r>
    </w:p>
    <w:p>
      <w:pPr>
        <w:spacing w:after="60"/>
        <w:ind w:left="360"/>
      </w:pPr>
      <w:r>
        <w:rPr>
          <w:rFonts w:ascii="Arial" w:cs="Arial" w:eastAsia="Arial" w:hAnsi="Arial"/>
          <w:sz w:val="20"/>
          <w:szCs w:val="20"/>
        </w:rPr>
        <w:t xml:space="preserve">• 5. Le projet de décompte mensuel est accepté ou rectifié par le maître d'œuvre qui l'envoie ensuite au maître d'ouvrage. Le règlement des factures présentées par le maître d'œuvre sont payable à 30 jours de leur date de réception après vérification de leur mention et de l'exécution des prestations correspondantes.</w:t>
      </w:r>
    </w:p>
    <w:p>
      <w:pPr>
        <w:spacing w:after="60"/>
        <w:ind w:left="360"/>
      </w:pPr>
      <w:r>
        <w:rPr>
          <w:rFonts w:ascii="Arial" w:cs="Arial" w:eastAsia="Arial" w:hAnsi="Arial"/>
          <w:sz w:val="20"/>
          <w:szCs w:val="20"/>
        </w:rPr>
        <w:t xml:space="preserve">• 6. Examen des devis de travaux complémentaires,</w:t>
      </w:r>
    </w:p>
    <w:p>
      <w:pPr>
        <w:keepNext w:val="false"/>
        <w:spacing w:after="120"/>
        <w:jc w:val="both"/>
      </w:pPr>
      <w:r>
        <w:rPr>
          <w:rFonts w:ascii="Arial" w:cs="Arial" w:eastAsia="Arial" w:hAnsi="Arial"/>
          <w:b w:val="false"/>
          <w:bCs w:val="false"/>
          <w:i w:val="false"/>
          <w:iCs w:val="false"/>
          <w:color w:val="000000"/>
          <w:sz w:val="20"/>
          <w:szCs w:val="20"/>
        </w:rPr>
        <w:t xml:space="preserve">La présente mission ne comprend pas les prestations nécessaires au remplacement d'une entreprise défaillante (constat contradictoire, consultation des entreprises, choix d'une autre entreprise).</w:t>
      </w:r>
    </w:p>
    <w:p>
      <w:pPr>
        <w:spacing w:after="60" w:before="120"/>
      </w:pPr>
      <w:r>
        <w:rPr>
          <w:rFonts w:ascii="Arial" w:cs="Arial" w:eastAsia="Arial" w:hAnsi="Arial"/>
          <w:b/>
          <w:bCs/>
          <w:color w:val="EA4E00"/>
          <w:sz w:val="20"/>
          <w:szCs w:val="20"/>
        </w:rPr>
        <w:t xml:space="preserve">Assistance aux opérations de réception</w:t>
      </w:r>
    </w:p>
    <w:p>
      <w:pPr>
        <w:spacing w:after="60"/>
        <w:ind w:left="360"/>
      </w:pPr>
      <w:r>
        <w:rPr>
          <w:rFonts w:ascii="Arial" w:cs="Arial" w:eastAsia="Arial" w:hAnsi="Arial"/>
          <w:sz w:val="20"/>
          <w:szCs w:val="20"/>
        </w:rPr>
        <w:t xml:space="preserve">• 1. Planifier et organiser avant réception des visites techniques, le programme des essais et les opérations préalables à la réception,</w:t>
      </w:r>
    </w:p>
    <w:p>
      <w:pPr>
        <w:spacing w:after="60"/>
        <w:ind w:left="360"/>
      </w:pPr>
      <w:r>
        <w:rPr>
          <w:rFonts w:ascii="Arial" w:cs="Arial" w:eastAsia="Arial" w:hAnsi="Arial"/>
          <w:sz w:val="20"/>
          <w:szCs w:val="20"/>
        </w:rPr>
        <w:t xml:space="preserve">• 2. Établir la liste des réserves et des remarques formulées lors de la réception des travaux et leur suivi jusqu'à leur levée dans les délais définis,</w:t>
      </w:r>
    </w:p>
    <w:p>
      <w:pPr>
        <w:spacing w:after="60"/>
        <w:ind w:left="360"/>
      </w:pPr>
      <w:r>
        <w:rPr>
          <w:rFonts w:ascii="Arial" w:cs="Arial" w:eastAsia="Arial" w:hAnsi="Arial"/>
          <w:sz w:val="20"/>
          <w:szCs w:val="20"/>
        </w:rPr>
        <w:t xml:space="preserve">• 3. Examiner et traiter avec l'entreprise les désordres signalés par le maître d'ouvrage,</w:t>
      </w:r>
    </w:p>
    <w:p>
      <w:pPr>
        <w:spacing w:after="60"/>
        <w:ind w:left="360"/>
      </w:pPr>
      <w:r>
        <w:rPr>
          <w:rFonts w:ascii="Arial" w:cs="Arial" w:eastAsia="Arial" w:hAnsi="Arial"/>
          <w:sz w:val="20"/>
          <w:szCs w:val="20"/>
        </w:rPr>
        <w:t xml:space="preserve">• 4. Vérifier le dossier des ouvrages exécutés (DOE),</w:t>
      </w:r>
    </w:p>
    <w:p>
      <w:pPr>
        <w:spacing w:after="60"/>
        <w:ind w:left="360"/>
      </w:pPr>
      <w:r>
        <w:rPr>
          <w:rFonts w:ascii="Arial" w:cs="Arial" w:eastAsia="Arial" w:hAnsi="Arial"/>
          <w:sz w:val="20"/>
          <w:szCs w:val="20"/>
        </w:rPr>
        <w:t xml:space="preserve">• 5. Valider les performances des installations.</w:t>
      </w:r>
    </w:p>
    <w:p>
      <w:pPr>
        <w:spacing w:after="60"/>
        <w:ind w:left="360"/>
      </w:pPr>
      <w:r>
        <w:rPr>
          <w:rFonts w:ascii="Arial" w:cs="Arial" w:eastAsia="Arial" w:hAnsi="Arial"/>
          <w:sz w:val="20"/>
          <w:szCs w:val="20"/>
        </w:rPr>
        <w:t xml:space="preserve">• 6. Proposer au maître d'ouvrage la réception définitive.</w:t>
      </w:r>
    </w:p>
    <w:p>
      <w:pPr>
        <w:keepNext w:val="false"/>
        <w:spacing w:after="120"/>
        <w:jc w:val="both"/>
      </w:pPr>
      <w:r>
        <w:rPr>
          <w:rFonts w:ascii="Arial" w:cs="Arial" w:eastAsia="Arial" w:hAnsi="Arial"/>
          <w:b/>
          <w:bCs/>
          <w:i w:val="false"/>
          <w:iCs w:val="false"/>
          <w:color w:val="EA4E00"/>
          <w:sz w:val="22"/>
          <w:szCs w:val="22"/>
        </w:rPr>
        <w:t xml:space="preserve">Phase 4 : Garantie de parfait achèvement</w:t>
      </w:r>
    </w:p>
    <w:p>
      <w:pPr>
        <w:keepNext w:val="false"/>
        <w:spacing w:after="120"/>
        <w:jc w:val="both"/>
      </w:pPr>
      <w:r>
        <w:rPr>
          <w:rFonts w:ascii="Arial" w:cs="Arial" w:eastAsia="Arial" w:hAnsi="Arial"/>
          <w:b w:val="false"/>
          <w:bCs w:val="false"/>
          <w:i w:val="false"/>
          <w:iCs w:val="false"/>
          <w:color w:val="000000"/>
          <w:sz w:val="20"/>
          <w:szCs w:val="20"/>
        </w:rPr>
        <w:t xml:space="preserve">Le maître d'œuvre fournit une assistance pendant la période de parfait achèvement.</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15"/>
        <w:gridCol w:w="2811"/>
      </w:tblGrid>
      <w:tr>
        <w:tc>
          <w:tcPr>
            <w:tcW w:type="dxa" w:w="621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281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1 : AVANT-PROJET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3 500,00 €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2 : Appel d'offres — DCE et AMT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4 800,00 €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3 : Exécution &amp; Travaux — DET</w:t>
            </w:r>
            <w:r>
              <w:br/>
              <w:t xml:space="preserve"/>
            </w:r>
            <w:r>
              <w:rPr>
                <w:rFonts w:ascii="Arial" w:cs="Arial" w:eastAsia="Arial" w:hAnsi="Arial"/>
                <w:b/>
                <w:bCs/>
                <w:color w:val="1A2B4C"/>
                <w:sz w:val="19"/>
                <w:szCs w:val="19"/>
              </w:rPr>
              <w:t xml:space="preserve">7 % du montant des travaux (180 000,00 € HT)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12 600,00 €</w:t>
            </w:r>
          </w:p>
        </w:tc>
      </w:tr>
      <w:tr>
        <w:tc>
          <w:tcPr>
            <w:tcW w:type="dxa" w:w="621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4 : Garantie de parfait achèvement</w:t>
            </w:r>
          </w:p>
        </w:tc>
        <w:tc>
          <w:tcPr>
            <w:tcW w:type="dxa" w:w="281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1 200,00 €</w:t>
            </w:r>
          </w:p>
        </w:tc>
      </w:tr>
      <w:tr>
        <w:tc>
          <w:tcPr>
            <w:tcW w:type="dxa" w:w="621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281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22 100,00 €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110"/>
        <w:gridCol w:w="1556"/>
        <w:gridCol w:w="3547"/>
      </w:tblGrid>
      <w:tr>
        <w:tc>
          <w:tcPr>
            <w:tcW w:type="dxa" w:w="41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55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547"/>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1 : AVANT-PROJET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3 500,00 €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la remise de l'avant-projet</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2 : Appel d'offres — DCE et AMT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4 800,00 €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50 % à la remise du DCE</w:t>
            </w:r>
            <w:r>
              <w:br/>
              <w:t xml:space="preserve"/>
            </w:r>
            <w:r>
              <w:rPr>
                <w:rFonts w:ascii="Arial" w:cs="Arial" w:eastAsia="Arial" w:hAnsi="Arial"/>
                <w:b w:val="false"/>
                <w:bCs w:val="false"/>
                <w:color w:val="333333"/>
                <w:sz w:val="19"/>
                <w:szCs w:val="19"/>
              </w:rPr>
              <w:t xml:space="preserve">50 % à la remise de l'AMT</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3 : Exécution &amp; Travaux — DET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12 600,00 €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Mensuellement, au prorata de l'avancement des travaux</w:t>
            </w:r>
          </w:p>
        </w:tc>
      </w:tr>
      <w:tr>
        <w:tc>
          <w:tcPr>
            <w:tcW w:type="dxa" w:w="411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Phase 4 : Garantie de parfait achèvement</w:t>
            </w:r>
          </w:p>
        </w:tc>
        <w:tc>
          <w:tcPr>
            <w:tcW w:type="dxa" w:w="155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1 200,00 €</w:t>
            </w:r>
          </w:p>
        </w:tc>
        <w:tc>
          <w:tcPr>
            <w:tcW w:type="dxa" w:w="354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la levée des réserves</w:t>
            </w:r>
          </w:p>
        </w:tc>
      </w:tr>
      <w:tr>
        <w:tc>
          <w:tcPr>
            <w:tcW w:type="dxa" w:w="41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556"/>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22 100,00 €</w:t>
            </w:r>
          </w:p>
        </w:tc>
        <w:tc>
          <w:tcPr>
            <w:tcW w:type="dxa" w:w="3547"/>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2"/>
        <w:gridCol w:w="5054"/>
      </w:tblGrid>
      <w:tr>
        <w:tc>
          <w:tcPr>
            <w:tcW w:type="dxa" w:w="397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505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1 : AVANT-PROJET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4 semaines</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2 : Appel d'offres — DCE et AMT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6 semaines</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3 : Exécution &amp; Travaux — DET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planning du Maître d'Ouvrage</w:t>
            </w:r>
          </w:p>
        </w:tc>
      </w:tr>
      <w:tr>
        <w:tc>
          <w:tcPr>
            <w:tcW w:type="dxa" w:w="397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Phase 4 : Garantie de parfait achèvement</w:t>
            </w:r>
          </w:p>
        </w:tc>
        <w:tc>
          <w:tcPr>
            <w:tcW w:type="dxa" w:w="5054"/>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12 mois</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LVO-MOE-26104 — Offre de Service — Hôtel de Région</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2026-09-25T13:24:01.365Z</dcterms:created>
  <dcterms:modified xsi:type="dcterms:W3CDTF">2026-09-25T13:24:01.365Z</dcterms:modified>
</cp:coreProperties>
</file>

<file path=docProps/custom.xml><?xml version="1.0" encoding="utf-8"?>
<Properties xmlns="http://schemas.openxmlformats.org/officeDocument/2006/custom-properties" xmlns:vt="http://schemas.openxmlformats.org/officeDocument/2006/docPropsVTypes"/>
</file>