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C" w:val="clear"/>
      </w:pPr>
      <w:r>
        <w:rPr>
          <w:rFonts w:ascii="Arial" w:cs="Arial" w:eastAsia="Arial" w:hAnsi="Arial"/>
          <w:sz w:val="4"/>
          <w:szCs w:val="4"/>
        </w:rPr>
        <w:t xml:space="preserve"> </w:t>
      </w:r>
    </w:p>
    <w:p>
      <w:pPr>
        <w:keepNext w:val="false"/>
        <w:jc w:val="center"/>
      </w:pPr>
      <w:r>
        <w:drawing>
          <wp:inline distT="0" distB="0" distL="0" distR="0">
            <wp:extent cx="209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952500"/>
                    </a:xfrm>
                    <a:prstGeom prst="rect">
                      <a:avLst/>
                    </a:prstGeom>
                  </pic:spPr>
                </pic:pic>
              </a:graphicData>
            </a:graphic>
          </wp:inline>
        </w:drawing>
      </w:r>
    </w:p>
    <w:p/>
    <w:p>
      <w:pPr>
        <w:keepNext w:val="false"/>
        <w:spacing w:after="120"/>
        <w:jc w:val="center"/>
      </w:pPr>
      <w:r>
        <w:rPr>
          <w:rFonts w:ascii="Arial" w:cs="Arial" w:eastAsia="Arial" w:hAnsi="Arial"/>
          <w:b w:val="false"/>
          <w:bCs w:val="false"/>
          <w:i w:val="false"/>
          <w:iCs w:val="false"/>
          <w:color w:val="8E9DAE"/>
          <w:sz w:val="22"/>
          <w:szCs w:val="22"/>
        </w:rPr>
        <w:t xml:space="preserve">Experts spécialisés en Études et Conseils Ascenseurs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6"/>
              <w:left w:val="single" w:color="FF6B00" w:sz="6"/>
              <w:bottom w:val="single" w:color="FF6B00" w:sz="6"/>
              <w:right w:val="single" w:color="FF6B00" w:sz="6"/>
            </w:tcBorders>
            <w:shd w:fill="FF6B0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OFFRE DE SERVICE</w:t>
            </w:r>
            <w:r>
              <w:br/>
              <w:t xml:space="preserve"/>
            </w:r>
            <w:r>
              <w:rPr>
                <w:rFonts w:ascii="Arial" w:cs="Arial" w:eastAsia="Arial" w:hAnsi="Arial"/>
                <w:b w:val="false"/>
                <w:bCs w:val="false"/>
                <w:color w:val="FFFFFF"/>
                <w:sz w:val="22"/>
                <w:szCs w:val="22"/>
              </w:rPr>
              <w:t xml:space="preserve">Mission Bureau d'Études Ascenseurs</w:t>
            </w:r>
            <w:r>
              <w:br/>
              <w:t xml:space="preserve"/>
            </w:r>
            <w:r>
              <w:rPr>
                <w:rFonts w:ascii="Arial" w:cs="Arial" w:eastAsia="Arial" w:hAnsi="Arial"/>
                <w:b/>
                <w:bCs/>
                <w:color w:val="FFFFFF"/>
                <w:sz w:val="22"/>
                <w:szCs w:val="22"/>
              </w:rPr>
              <w:t xml:space="preserve">Mission de Service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2B4C" w:sz="6"/>
              <w:left w:val="single" w:color="1A2B4C" w:sz="6"/>
              <w:bottom w:val="single" w:color="1A2B4C" w:sz="6"/>
              <w:right w:val="single" w:color="1A2B4C" w:sz="6"/>
            </w:tcBorders>
            <w:shd w:fill="E8EDF4" w:val="clear"/>
            <w:tcMar>
              <w:top w:type="dxa" w:w="220"/>
              <w:left w:type="dxa" w:w="300"/>
              <w:bottom w:type="dxa" w:w="220"/>
              <w:right w:type="dxa" w:w="300"/>
            </w:tcMar>
          </w:tcPr>
          <w:p>
            <w:pPr>
              <w:jc w:val="center"/>
            </w:pPr>
            <w:r>
              <w:rPr>
                <w:rFonts w:ascii="Arial" w:cs="Arial" w:eastAsia="Arial" w:hAnsi="Arial"/>
                <w:b/>
                <w:bCs/>
                <w:color w:val="8E9DAE"/>
                <w:sz w:val="18"/>
                <w:szCs w:val="18"/>
              </w:rPr>
              <w:t xml:space="preserve">SITE</w:t>
            </w:r>
            <w:r>
              <w:br/>
              <w:t xml:space="preserve"/>
            </w:r>
            <w:r>
              <w:rPr>
                <w:rFonts w:ascii="Arial" w:cs="Arial" w:eastAsia="Arial" w:hAnsi="Arial"/>
                <w:b/>
                <w:bCs/>
                <w:color w:val="1A2B4C"/>
                <w:sz w:val="32"/>
                <w:szCs w:val="32"/>
              </w:rPr>
              <w:t xml:space="preserve">CHU Félix Guyon</w:t>
            </w:r>
            <w:r>
              <w:br/>
              <w:t xml:space="preserve"/>
            </w:r>
            <w:r>
              <w:rPr>
                <w:rFonts w:ascii="Arial" w:cs="Arial" w:eastAsia="Arial" w:hAnsi="Arial"/>
                <w:b w:val="false"/>
                <w:bCs w:val="false"/>
                <w:color w:val="8E9DAE"/>
                <w:sz w:val="22"/>
                <w:szCs w:val="22"/>
              </w:rPr>
              <w:t xml:space="preserve">Allée des Topazes, 97400 Saint-Denis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6B00" w:sz="12"/>
              <w:left w:val="single" w:color="FF6B00" w:sz="4"/>
              <w:bottom w:val="single" w:color="FF6B00" w:sz="12"/>
              <w:right w:val="single" w:color="FF6B00" w:sz="4"/>
            </w:tcBorders>
            <w:shd w:fill="FFF3E8" w:val="clear"/>
            <w:tcMar>
              <w:top w:type="dxa" w:w="180"/>
              <w:left w:type="dxa" w:w="280"/>
              <w:bottom w:type="dxa" w:w="180"/>
              <w:right w:type="dxa" w:w="280"/>
            </w:tcMar>
          </w:tcPr>
          <w:p>
            <w:r>
              <w:rPr>
                <w:rFonts w:ascii="Arial" w:cs="Arial" w:eastAsia="Arial" w:hAnsi="Arial"/>
                <w:b w:val="false"/>
                <w:bCs w:val="false"/>
                <w:color w:val="333333"/>
                <w:sz w:val="20"/>
                <w:szCs w:val="20"/>
              </w:rPr>
              <w:t xml:space="preserve">[Photo du site — À COMPLÉTER]</w:t>
            </w:r>
          </w:p>
        </w:tc>
      </w:tr>
    </w:tbl>
    <w:p/>
    <w:tbl>
      <w:tblPr>
        <w:tblW w:type="dxa" w:w="9338"/>
        <w:tblBorders>
          <w:top w:val="single" w:color="auto" w:sz="4"/>
          <w:left w:val="single" w:color="auto" w:sz="4"/>
          <w:bottom w:val="single" w:color="auto" w:sz="4"/>
          <w:right w:val="single" w:color="auto" w:sz="4"/>
          <w:insideH w:val="single" w:color="auto" w:sz="4"/>
          <w:insideV w:val="single" w:color="auto" w:sz="4"/>
        </w:tblBorders>
      </w:tblPr>
      <w:tblGrid>
        <w:gridCol w:w="2551"/>
        <w:gridCol w:w="6787"/>
      </w:tblGrid>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POUR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CHU de La Réunion</w:t>
            </w:r>
            <w:r>
              <w:br/>
              <w:t xml:space="preserve"/>
            </w:r>
            <w:r>
              <w:rPr>
                <w:rFonts w:ascii="Arial" w:cs="Arial" w:eastAsia="Arial" w:hAnsi="Arial"/>
                <w:b w:val="false"/>
                <w:bCs w:val="false"/>
                <w:color w:val="333333"/>
                <w:sz w:val="19"/>
                <w:szCs w:val="19"/>
              </w:rPr>
              <w:t xml:space="preserve">Direction des Travaux et du Patrimoine</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REPRÉSENTÉ PAR</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Mme Valérie MAILLOT (Ingénieure travaux)</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DOSSIER ÉTABLI PAR</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Hatem LEMBARKI</w:t>
            </w:r>
          </w:p>
        </w:tc>
      </w:tr>
      <w:tr>
        <w:tc>
          <w:tcPr>
            <w:tcW w:type="dxa" w:w="2551"/>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w:t>
            </w:r>
          </w:p>
        </w:tc>
        <w:tc>
          <w:tcPr>
            <w:tcW w:type="dxa" w:w="6787"/>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21 septembre 2026</w:t>
            </w:r>
          </w:p>
        </w:tc>
      </w:tr>
      <w:tr>
        <w:tc>
          <w:tcPr>
            <w:tcW w:type="dxa" w:w="2551"/>
            <w:tcBorders>
              <w:top w:val="single" w:color="8E9DAE" w:sz="1"/>
              <w:left w:val="single" w:color="8E9DAE" w:sz="1"/>
              <w:bottom w:val="single" w:color="8E9DAE" w:sz="1"/>
              <w:right w:val="single" w:color="8E9DAE" w:sz="1"/>
            </w:tcBorders>
            <w:shd w:fill="EEF2F7" w:val="clear"/>
            <w:tcMar>
              <w:top w:type="dxa" w:w="100"/>
              <w:left w:type="dxa" w:w="150"/>
              <w:bottom w:type="dxa" w:w="100"/>
              <w:right w:type="dxa" w:w="150"/>
            </w:tcMar>
            <w:vAlign w:val="center"/>
          </w:tcPr>
          <w:p>
            <w:r>
              <w:rPr>
                <w:rFonts w:ascii="Arial" w:cs="Arial" w:eastAsia="Arial" w:hAnsi="Arial"/>
                <w:b/>
                <w:bCs/>
                <w:color w:val="1A2B4C"/>
                <w:sz w:val="19"/>
                <w:szCs w:val="19"/>
              </w:rPr>
              <w:t xml:space="preserve">RÉFÉRENCE</w:t>
            </w:r>
          </w:p>
        </w:tc>
        <w:tc>
          <w:tcPr>
            <w:tcW w:type="dxa" w:w="6787"/>
            <w:tcBorders>
              <w:top w:val="single" w:color="8E9DAE" w:sz="1"/>
              <w:left w:val="single" w:color="8E9DAE" w:sz="1"/>
              <w:bottom w:val="single" w:color="8E9DAE" w:sz="1"/>
              <w:right w:val="single" w:color="8E9DAE" w:sz="1"/>
            </w:tcBorders>
            <w:shd w:fill="FAFBFC"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LVO-MS-26105</w:t>
            </w:r>
          </w:p>
        </w:tc>
      </w:tr>
    </w:tbl>
    <w:p>
      <w:pPr>
        <w:sectPr>
          <w:pgSz w:w="11906" w:h="16838" w:orient="portrait"/>
          <w:pgMar w:top="1440" w:right="1440" w:bottom="993" w:left="1440" w:header="708" w:footer="708" w:gutter="0"/>
          <w:pgNumType/>
          <w:docGrid w:linePitch="360"/>
        </w:sectPr>
      </w:pPr>
    </w:p>
    <w:p>
      <w:pPr>
        <w:keepNext w:val="false"/>
        <w:spacing w:after="120"/>
        <w:jc w:val="both"/>
      </w:pPr>
      <w:r>
        <w:rPr>
          <w:rFonts w:ascii="Arial" w:cs="Arial" w:eastAsia="Arial" w:hAnsi="Arial"/>
          <w:b w:val="false"/>
          <w:bCs w:val="false"/>
          <w:i w:val="false"/>
          <w:iCs w:val="false"/>
          <w:color w:val="000000"/>
          <w:sz w:val="20"/>
          <w:szCs w:val="20"/>
        </w:rPr>
        <w:t xml:space="preserve">Saint-Denis, le 21 septembre 2026</w:t>
      </w:r>
    </w:p>
    <w:p/>
    <w:p>
      <w:pPr>
        <w:keepNext w:val="false"/>
        <w:spacing w:after="120"/>
        <w:jc w:val="both"/>
      </w:pPr>
      <w:r>
        <w:rPr>
          <w:rFonts w:ascii="Arial" w:cs="Arial" w:eastAsia="Arial" w:hAnsi="Arial"/>
          <w:b/>
          <w:bCs/>
          <w:i w:val="false"/>
          <w:iCs w:val="false"/>
          <w:color w:val="000000"/>
          <w:sz w:val="20"/>
          <w:szCs w:val="20"/>
        </w:rPr>
        <w:t xml:space="preserve">CHU de La Réunion</w:t>
      </w:r>
    </w:p>
    <w:p>
      <w:pPr>
        <w:keepNext w:val="false"/>
        <w:spacing w:after="120"/>
        <w:jc w:val="both"/>
      </w:pPr>
      <w:r>
        <w:rPr>
          <w:rFonts w:ascii="Arial" w:cs="Arial" w:eastAsia="Arial" w:hAnsi="Arial"/>
          <w:b w:val="false"/>
          <w:bCs w:val="false"/>
          <w:i w:val="false"/>
          <w:iCs w:val="false"/>
          <w:color w:val="000000"/>
          <w:sz w:val="20"/>
          <w:szCs w:val="20"/>
        </w:rPr>
        <w:t xml:space="preserve">Direction des Travaux et du Patrimoine</w:t>
      </w:r>
    </w:p>
    <w:p/>
    <w:p>
      <w:pPr>
        <w:keepNext w:val="false"/>
        <w:spacing w:after="120"/>
        <w:jc w:val="both"/>
      </w:pPr>
      <w:r>
        <w:rPr>
          <w:rFonts w:ascii="Arial" w:cs="Arial" w:eastAsia="Arial" w:hAnsi="Arial"/>
          <w:b w:val="false"/>
          <w:bCs w:val="false"/>
          <w:i w:val="false"/>
          <w:iCs w:val="false"/>
          <w:color w:val="333333"/>
          <w:sz w:val="20"/>
          <w:szCs w:val="20"/>
        </w:rPr>
        <w:t xml:space="preserve">À l'attention de Mme Valérie MAILLOT (Ingénieure travaux)</w:t>
      </w:r>
    </w:p>
    <w:p/>
    <w:p>
      <w:pPr>
        <w:keepNext w:val="false"/>
        <w:spacing w:after="120"/>
        <w:jc w:val="both"/>
      </w:pPr>
      <w:r>
        <w:rPr>
          <w:rFonts w:ascii="Arial" w:cs="Arial" w:eastAsia="Arial" w:hAnsi="Arial"/>
          <w:b/>
          <w:bCs/>
          <w:i w:val="false"/>
          <w:iCs w:val="false"/>
          <w:color w:val="000000"/>
          <w:sz w:val="20"/>
          <w:szCs w:val="20"/>
        </w:rPr>
        <w:t xml:space="preserve">Réf : LVO-MS-26105</w:t>
      </w:r>
    </w:p>
    <w:p>
      <w:pPr>
        <w:keepNext w:val="false"/>
        <w:spacing w:after="120"/>
        <w:jc w:val="both"/>
      </w:pPr>
      <w:r>
        <w:rPr>
          <w:rFonts w:ascii="Arial" w:cs="Arial" w:eastAsia="Arial" w:hAnsi="Arial"/>
          <w:b/>
          <w:bCs/>
          <w:i w:val="false"/>
          <w:iCs w:val="false"/>
          <w:color w:val="000000"/>
          <w:sz w:val="20"/>
          <w:szCs w:val="20"/>
        </w:rPr>
        <w:t xml:space="preserve">Objet : CHU Félix Guyon - Allée des Topazes, 97400 Saint-Denis</w:t>
      </w:r>
    </w:p>
    <w:p/>
    <w:p>
      <w:pPr>
        <w:keepNext w:val="false"/>
        <w:spacing w:after="120"/>
        <w:jc w:val="both"/>
      </w:pPr>
      <w:r>
        <w:rPr>
          <w:rFonts w:ascii="Arial" w:cs="Arial" w:eastAsia="Arial" w:hAnsi="Arial"/>
          <w:b/>
          <w:bCs/>
          <w:i w:val="false"/>
          <w:iCs w:val="false"/>
          <w:color w:val="000000"/>
          <w:sz w:val="20"/>
          <w:szCs w:val="20"/>
        </w:rPr>
        <w:t xml:space="preserve">Mission : Mission de Service</w:t>
      </w:r>
    </w:p>
    <w:p/>
    <w:p>
      <w:pPr>
        <w:keepNext w:val="false"/>
        <w:spacing w:after="120"/>
        <w:jc w:val="both"/>
      </w:pPr>
      <w:r>
        <w:rPr>
          <w:rFonts w:ascii="Arial" w:cs="Arial" w:eastAsia="Arial" w:hAnsi="Arial"/>
          <w:b w:val="false"/>
          <w:bCs w:val="false"/>
          <w:i w:val="false"/>
          <w:iCs w:val="false"/>
          <w:color w:val="000000"/>
          <w:sz w:val="20"/>
          <w:szCs w:val="20"/>
        </w:rPr>
        <w:t xml:space="preserve">Madame,</w:t>
      </w:r>
    </w:p>
    <w:p/>
    <w:p>
      <w:pPr>
        <w:keepNext w:val="false"/>
        <w:spacing w:after="120"/>
        <w:jc w:val="both"/>
      </w:pPr>
      <w:r>
        <w:rPr>
          <w:rFonts w:ascii="Arial" w:cs="Arial" w:eastAsia="Arial" w:hAnsi="Arial"/>
          <w:b w:val="false"/>
          <w:bCs w:val="false"/>
          <w:i w:val="false"/>
          <w:iCs w:val="false"/>
          <w:color w:val="000000"/>
          <w:sz w:val="20"/>
          <w:szCs w:val="20"/>
        </w:rPr>
        <w:t xml:space="preserve">Nous avons le plaisir de vous communiquer, ci-joint, notre meilleure proposition d'honoraires pour vous conseiller et vous assister en tant que BET Transports mécaniques dans le cadre de ce projet.</w:t>
      </w:r>
    </w:p>
    <w:p/>
    <w:p>
      <w:pPr>
        <w:keepNext w:val="false"/>
        <w:spacing w:after="120"/>
        <w:jc w:val="both"/>
      </w:pPr>
      <w:r>
        <w:rPr>
          <w:rFonts w:ascii="Arial" w:cs="Arial" w:eastAsia="Arial" w:hAnsi="Arial"/>
          <w:b w:val="false"/>
          <w:bCs w:val="false"/>
          <w:i w:val="false"/>
          <w:iCs w:val="false"/>
          <w:color w:val="000000"/>
          <w:sz w:val="20"/>
          <w:szCs w:val="20"/>
        </w:rPr>
        <w:t xml:space="preserve">LVO-INGENIERIE offre à ses clients une expertise de conseil spécialisée dans le domaine du transport vertical des biens et des personnes. Nos consultants expérimentés sont spécialisés dans les disciplines suivantes :</w:t>
      </w:r>
    </w:p>
    <w:p/>
    <w:p>
      <w:pPr>
        <w:spacing w:after="60"/>
        <w:ind w:left="360"/>
      </w:pPr>
      <w:r>
        <w:rPr>
          <w:rFonts w:ascii="Arial" w:cs="Arial" w:eastAsia="Arial" w:hAnsi="Arial"/>
          <w:sz w:val="20"/>
          <w:szCs w:val="20"/>
        </w:rPr>
        <w:t xml:space="preserve">• Transport vertical</w:t>
      </w:r>
    </w:p>
    <w:p>
      <w:pPr>
        <w:spacing w:after="60"/>
        <w:ind w:left="360"/>
      </w:pPr>
      <w:r>
        <w:rPr>
          <w:rFonts w:ascii="Arial" w:cs="Arial" w:eastAsia="Arial" w:hAnsi="Arial"/>
          <w:sz w:val="20"/>
          <w:szCs w:val="20"/>
        </w:rPr>
        <w:t xml:space="preserve">• Transport horizontal</w:t>
      </w:r>
    </w:p>
    <w:p>
      <w:pPr>
        <w:spacing w:after="60"/>
        <w:ind w:left="360"/>
      </w:pPr>
      <w:r>
        <w:rPr>
          <w:rFonts w:ascii="Arial" w:cs="Arial" w:eastAsia="Arial" w:hAnsi="Arial"/>
          <w:sz w:val="20"/>
          <w:szCs w:val="20"/>
        </w:rPr>
        <w:t xml:space="preserve">• Analyses de trafic</w:t>
      </w:r>
    </w:p>
    <w:p>
      <w:pPr>
        <w:spacing w:after="60"/>
        <w:ind w:left="360"/>
      </w:pPr>
      <w:r>
        <w:rPr>
          <w:rFonts w:ascii="Arial" w:cs="Arial" w:eastAsia="Arial" w:hAnsi="Arial"/>
          <w:sz w:val="20"/>
          <w:szCs w:val="20"/>
        </w:rPr>
        <w:t xml:space="preserve">• Gestion de projets Neufs et Modernisations</w:t>
      </w:r>
    </w:p>
    <w:p>
      <w:pPr>
        <w:spacing w:after="60"/>
        <w:ind w:left="360"/>
      </w:pPr>
      <w:r>
        <w:rPr>
          <w:rFonts w:ascii="Arial" w:cs="Arial" w:eastAsia="Arial" w:hAnsi="Arial"/>
          <w:sz w:val="20"/>
          <w:szCs w:val="20"/>
        </w:rPr>
        <w:t xml:space="preserve">• Maintenance Management</w:t>
      </w:r>
    </w:p>
    <w:p/>
    <w:p>
      <w:pPr>
        <w:keepNext w:val="false"/>
        <w:spacing w:after="120"/>
        <w:jc w:val="both"/>
      </w:pPr>
      <w:r>
        <w:rPr>
          <w:rFonts w:ascii="Arial" w:cs="Arial" w:eastAsia="Arial" w:hAnsi="Arial"/>
          <w:b w:val="false"/>
          <w:bCs w:val="false"/>
          <w:i w:val="false"/>
          <w:iCs w:val="false"/>
          <w:color w:val="000000"/>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w:t>
      </w:r>
    </w:p>
    <w:p/>
    <w:p>
      <w:pPr>
        <w:keepNext w:val="false"/>
        <w:spacing w:after="120"/>
        <w:jc w:val="both"/>
      </w:pPr>
      <w:r>
        <w:rPr>
          <w:rFonts w:ascii="Arial" w:cs="Arial" w:eastAsia="Arial" w:hAnsi="Arial"/>
          <w:b w:val="false"/>
          <w:bCs w:val="false"/>
          <w:i w:val="false"/>
          <w:iCs w:val="false"/>
          <w:color w:val="000000"/>
          <w:sz w:val="20"/>
          <w:szCs w:val="20"/>
        </w:rPr>
        <w:t xml:space="preserve">Nous espérons avoir correctement interprété vos instructions et nous nous réjouissons de cette opportunité de mettre notre expertise à votre service.</w:t>
      </w:r>
    </w:p>
    <w:p/>
    <w:p>
      <w:pPr>
        <w:keepNext w:val="false"/>
        <w:spacing w:after="120"/>
        <w:jc w:val="both"/>
      </w:pPr>
      <w:r>
        <w:rPr>
          <w:rFonts w:ascii="Arial" w:cs="Arial" w:eastAsia="Arial" w:hAnsi="Arial"/>
          <w:b w:val="false"/>
          <w:bCs w:val="false"/>
          <w:i w:val="false"/>
          <w:iCs w:val="false"/>
          <w:color w:val="000000"/>
          <w:sz w:val="20"/>
          <w:szCs w:val="20"/>
        </w:rPr>
        <w:t xml:space="preserve">Afin de formaliser notre accord, nous vous demanderons de bien vouloir nous retourner un exemplaire de notre ordre de mission signé.</w:t>
      </w:r>
    </w:p>
    <w:p/>
    <w:p>
      <w:pPr>
        <w:keepNext w:val="false"/>
        <w:spacing w:after="120"/>
        <w:jc w:val="both"/>
      </w:pPr>
      <w:r>
        <w:rPr>
          <w:rFonts w:ascii="Arial" w:cs="Arial" w:eastAsia="Arial" w:hAnsi="Arial"/>
          <w:b w:val="false"/>
          <w:bCs w:val="false"/>
          <w:i w:val="false"/>
          <w:iCs w:val="false"/>
          <w:color w:val="000000"/>
          <w:sz w:val="20"/>
          <w:szCs w:val="20"/>
        </w:rPr>
        <w:t xml:space="preserve">N'hésitez pas à nous contacter pour toute information que vous jugerez nécessaire.</w:t>
      </w:r>
    </w:p>
    <w:p/>
    <w:p>
      <w:pPr>
        <w:keepNext w:val="false"/>
        <w:spacing w:after="120"/>
        <w:jc w:val="both"/>
      </w:pPr>
      <w:r>
        <w:rPr>
          <w:rFonts w:ascii="Arial" w:cs="Arial" w:eastAsia="Arial" w:hAnsi="Arial"/>
          <w:b w:val="false"/>
          <w:bCs w:val="false"/>
          <w:i w:val="false"/>
          <w:iCs w:val="false"/>
          <w:color w:val="000000"/>
          <w:sz w:val="20"/>
          <w:szCs w:val="20"/>
        </w:rPr>
        <w:t xml:space="preserve">Veuillez agréer, Madame, l'expression de nos respectueuses salutations.</w:t>
      </w:r>
    </w:p>
    <w:p/>
    <w:p>
      <w:pPr>
        <w:keepNext/>
        <w:spacing w:after="120"/>
        <w:jc w:val="both"/>
      </w:pPr>
      <w:r>
        <w:rPr>
          <w:rFonts w:ascii="Arial" w:cs="Arial" w:eastAsia="Arial" w:hAnsi="Arial"/>
          <w:b/>
          <w:bCs/>
          <w:i w:val="false"/>
          <w:iCs w:val="false"/>
          <w:color w:val="1A2B4C"/>
          <w:sz w:val="20"/>
          <w:szCs w:val="20"/>
        </w:rPr>
        <w:t xml:space="preserve">Hatem LEMBARKI</w:t>
      </w:r>
    </w:p>
    <w:p>
      <w:pPr>
        <w:keepNext/>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keepNext w:val="false"/>
        <w:spacing w:after="120"/>
        <w:jc w:val="both"/>
      </w:pPr>
      <w:r>
        <w:rPr>
          <w:rFonts w:ascii="Arial" w:cs="Arial" w:eastAsia="Arial" w:hAnsi="Arial"/>
          <w:b w:val="false"/>
          <w:bCs w:val="false"/>
          <w:i w:val="false"/>
          <w:iCs w:val="false"/>
          <w:color w:val="8E9DAE"/>
          <w:sz w:val="18"/>
          <w:szCs w:val="18"/>
        </w:rPr>
        <w:t xml:space="preserve">Fondateur Gérant</w:t>
      </w:r>
    </w:p>
    <w:p>
      <w:pPr>
        <w:pageBreakBefore/>
      </w:pPr>
    </w:p>
    <w:p>
      <w:pPr>
        <w:pBdr>
          <w:bottom w:val="single" w:color="FF6B00" w:sz="6" w:space="4"/>
        </w:pBdr>
        <w:spacing w:after="200"/>
      </w:pPr>
      <w:r>
        <w:rPr>
          <w:rFonts w:ascii="Arial" w:cs="Arial" w:eastAsia="Arial" w:hAnsi="Arial"/>
          <w:b/>
          <w:bCs/>
          <w:color w:val="1A2B4C"/>
          <w:sz w:val="26"/>
          <w:szCs w:val="26"/>
        </w:rPr>
        <w:t xml:space="preserve">DÉTAILS DE NOTRE OFFRE DE SERVICE</w:t>
      </w:r>
    </w:p>
    <w:p/>
    <w:p>
      <w:pPr>
        <w:keepNext w:val="false"/>
        <w:spacing w:after="120"/>
        <w:jc w:val="both"/>
      </w:pPr>
      <w:r>
        <w:rPr>
          <w:rFonts w:ascii="Arial" w:cs="Arial" w:eastAsia="Arial" w:hAnsi="Arial"/>
          <w:b w:val="false"/>
          <w:bCs w:val="false"/>
          <w:i w:val="false"/>
          <w:iCs w:val="false"/>
          <w:color w:val="000000"/>
          <w:sz w:val="20"/>
          <w:szCs w:val="20"/>
        </w:rPr>
        <w:t xml:space="preserve">LVO-INGENIERIE convient de fournir ses services d'assistance, d'étude et de conseil pour les équipements de transports mécaniques du CHU Félix Guyon situé Allée des Topazes, 97400 Saint-Denis, comme indiqué ci-après.</w:t>
      </w:r>
    </w:p>
    <w:p/>
    <w:p>
      <w:pPr>
        <w:spacing w:after="60" w:before="120"/>
      </w:pPr>
      <w:r>
        <w:rPr>
          <w:rFonts w:ascii="Arial" w:cs="Arial" w:eastAsia="Arial" w:hAnsi="Arial"/>
          <w:b/>
          <w:bCs/>
          <w:color w:val="EA4E00"/>
          <w:sz w:val="20"/>
          <w:szCs w:val="20"/>
        </w:rPr>
        <w:t xml:space="preserve">Phase : Assistance aux opérations de réception</w:t>
      </w:r>
    </w:p>
    <w:p>
      <w:pPr>
        <w:spacing w:after="60"/>
        <w:ind w:left="360"/>
      </w:pPr>
      <w:r>
        <w:rPr>
          <w:rFonts w:ascii="Arial" w:cs="Arial" w:eastAsia="Arial" w:hAnsi="Arial"/>
          <w:sz w:val="20"/>
          <w:szCs w:val="20"/>
        </w:rPr>
        <w:t xml:space="preserve">• Participation aux essais de réception des 4 ascenseurs rénovés</w:t>
      </w:r>
    </w:p>
    <w:p>
      <w:pPr>
        <w:spacing w:after="60"/>
        <w:ind w:left="360"/>
      </w:pPr>
      <w:r>
        <w:rPr>
          <w:rFonts w:ascii="Arial" w:cs="Arial" w:eastAsia="Arial" w:hAnsi="Arial"/>
          <w:sz w:val="20"/>
          <w:szCs w:val="20"/>
        </w:rPr>
        <w:t xml:space="preserve">• Vérification de la conformité aux pièces du marché</w:t>
      </w:r>
    </w:p>
    <w:p>
      <w:pPr>
        <w:spacing w:after="60"/>
        <w:ind w:left="360"/>
      </w:pPr>
      <w:r>
        <w:rPr>
          <w:rFonts w:ascii="Arial" w:cs="Arial" w:eastAsia="Arial" w:hAnsi="Arial"/>
          <w:sz w:val="20"/>
          <w:szCs w:val="20"/>
        </w:rPr>
        <w:t xml:space="preserve">• Rédaction du procès-verbal et de la liste des réserves</w:t>
      </w:r>
    </w:p>
    <w:p/>
    <w:p>
      <w:pPr>
        <w:pageBreakBefore/>
      </w:pPr>
    </w:p>
    <w:p>
      <w:pPr>
        <w:pBdr>
          <w:bottom w:val="single" w:color="FF6B00" w:sz="6" w:space="4"/>
        </w:pBdr>
        <w:spacing w:after="200"/>
      </w:pPr>
      <w:r>
        <w:rPr>
          <w:rFonts w:ascii="Arial" w:cs="Arial" w:eastAsia="Arial" w:hAnsi="Arial"/>
          <w:b/>
          <w:bCs/>
          <w:color w:val="1A2B4C"/>
          <w:sz w:val="26"/>
          <w:szCs w:val="26"/>
        </w:rPr>
        <w:t xml:space="preserve">MONTANT DES HONORAIRES</w:t>
      </w:r>
    </w:p>
    <w:p/>
    <w:p>
      <w:pPr>
        <w:keepNext w:val="false"/>
        <w:spacing w:after="120"/>
        <w:jc w:val="both"/>
      </w:pPr>
      <w:r>
        <w:rPr>
          <w:rFonts w:ascii="Arial" w:cs="Arial" w:eastAsia="Arial" w:hAnsi="Arial"/>
          <w:b/>
          <w:bCs/>
          <w:i w:val="false"/>
          <w:iCs w:val="false"/>
          <w:color w:val="1A2B4C"/>
          <w:sz w:val="22"/>
          <w:szCs w:val="22"/>
        </w:rPr>
        <w:t xml:space="preserve">Tableau de l'offre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98"/>
        <w:gridCol w:w="2128"/>
      </w:tblGrid>
      <w:tr>
        <w:tc>
          <w:tcPr>
            <w:tcW w:type="dxa" w:w="6898"/>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2128"/>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r>
      <w:tr>
        <w:tc>
          <w:tcPr>
            <w:tcW w:type="dxa" w:w="6898"/>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Mission Spéciale</w:t>
            </w:r>
          </w:p>
        </w:tc>
        <w:tc>
          <w:tcPr>
            <w:tcW w:type="dxa" w:w="2128"/>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2 400,00 €</w:t>
            </w:r>
          </w:p>
        </w:tc>
      </w:tr>
      <w:tr>
        <w:tc>
          <w:tcPr>
            <w:tcW w:type="dxa" w:w="6898"/>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TOTAL</w:t>
            </w:r>
          </w:p>
        </w:tc>
        <w:tc>
          <w:tcPr>
            <w:tcW w:type="dxa" w:w="2128"/>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22"/>
                <w:szCs w:val="22"/>
              </w:rPr>
              <w:t xml:space="preserve">2 400,00 € HT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E9DAE" w:sz="1"/>
              <w:left w:val="single" w:color="8E9DAE" w:sz="1"/>
              <w:bottom w:val="single" w:color="8E9DAE" w:sz="1"/>
              <w:right w:val="single" w:color="8E9DAE" w:sz="1"/>
            </w:tcBorders>
            <w:shd w:fill="F4F6F9" w:val="clear"/>
            <w:tcMar>
              <w:top w:type="dxa" w:w="120"/>
              <w:left w:type="dxa" w:w="200"/>
              <w:bottom w:type="dxa" w:w="120"/>
              <w:right w:type="dxa" w:w="200"/>
            </w:tcMar>
          </w:tcPr>
          <w:p>
            <w:pPr>
              <w:jc w:val="center"/>
            </w:pPr>
            <w:r>
              <w:rPr>
                <w:rFonts w:ascii="Arial" w:cs="Arial" w:eastAsia="Arial" w:hAnsi="Arial"/>
                <w:b/>
                <w:bCs/>
                <w:color w:val="1A2B4C"/>
                <w:sz w:val="19"/>
                <w:szCs w:val="19"/>
              </w:rPr>
              <w:t xml:space="preserve">Coût horaire LVO-INGENIERIE : 175 € HT       |       Coût Journalier : 1 225 € HT</w:t>
            </w:r>
          </w:p>
          <w:p>
            <w:r>
              <w:rPr>
                <w:rFonts w:ascii="Arial" w:cs="Arial" w:eastAsia="Arial" w:hAnsi="Arial"/>
                <w:color w:val="8E9DAE"/>
                <w:sz w:val="18"/>
                <w:szCs w:val="18"/>
              </w:rPr>
              <w:t xml:space="preserve">TVA applicable : 8,5 %</w:t>
            </w:r>
          </w:p>
          <w:p>
            <w:r>
              <w:rPr>
                <w:rFonts w:ascii="Arial" w:cs="Arial" w:eastAsia="Arial" w:hAnsi="Arial"/>
                <w:color w:val="8E9DAE"/>
                <w:sz w:val="18"/>
                <w:szCs w:val="18"/>
              </w:rPr>
              <w:t xml:space="preserve">Offre valable 3 mois — Révisable selon l'indice SYNTEC.</w:t>
            </w:r>
          </w:p>
        </w:tc>
      </w:tr>
    </w:tbl>
    <w:p/>
    <w:p>
      <w:pPr>
        <w:keepNext w:val="false"/>
        <w:spacing w:after="120"/>
        <w:jc w:val="both"/>
      </w:pPr>
      <w:r>
        <w:rPr>
          <w:rFonts w:ascii="Arial" w:cs="Arial" w:eastAsia="Arial" w:hAnsi="Arial"/>
          <w:b/>
          <w:bCs/>
          <w:i w:val="false"/>
          <w:iCs w:val="false"/>
          <w:color w:val="1A2B4C"/>
          <w:sz w:val="22"/>
          <w:szCs w:val="22"/>
        </w:rPr>
        <w:t xml:space="preserve">Échéancier de facturation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46"/>
        <w:gridCol w:w="1490"/>
        <w:gridCol w:w="2890"/>
      </w:tblGrid>
      <w:tr>
        <w:tc>
          <w:tcPr>
            <w:tcW w:type="dxa" w:w="464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PHASE</w:t>
            </w:r>
          </w:p>
        </w:tc>
        <w:tc>
          <w:tcPr>
            <w:tcW w:type="dxa" w:w="1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MONTANT HT</w:t>
            </w:r>
          </w:p>
        </w:tc>
        <w:tc>
          <w:tcPr>
            <w:tcW w:type="dxa" w:w="28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FACTURATION — ÉCHÉANCIER</w:t>
            </w:r>
          </w:p>
        </w:tc>
      </w:tr>
      <w:tr>
        <w:tc>
          <w:tcPr>
            <w:tcW w:type="dxa" w:w="4646"/>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Mission Spéciale</w:t>
            </w:r>
          </w:p>
        </w:tc>
        <w:tc>
          <w:tcPr>
            <w:tcW w:type="dxa" w:w="1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2 400,00 €</w:t>
            </w:r>
          </w:p>
        </w:tc>
        <w:tc>
          <w:tcPr>
            <w:tcW w:type="dxa" w:w="28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100 % à la remise du procès-verbal</w:t>
            </w:r>
          </w:p>
        </w:tc>
      </w:tr>
      <w:tr>
        <w:tc>
          <w:tcPr>
            <w:tcW w:type="dxa" w:w="4646"/>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TOTAL</w:t>
            </w:r>
          </w:p>
        </w:tc>
        <w:tc>
          <w:tcPr>
            <w:tcW w:type="dxa" w:w="1490"/>
            <w:tcBorders>
              <w:top w:val="single" w:color="8E9DAE" w:sz="1"/>
              <w:left w:val="single" w:color="8E9DAE" w:sz="1"/>
              <w:bottom w:val="single" w:color="8E9DAE" w:sz="1"/>
              <w:right w:val="single" w:color="8E9DAE" w:sz="1"/>
            </w:tcBorders>
            <w:shd w:fill="FF6B00" w:val="clear"/>
            <w:tcMar>
              <w:top w:type="dxa" w:w="100"/>
              <w:left w:type="dxa" w:w="150"/>
              <w:bottom w:type="dxa" w:w="100"/>
              <w:right w:type="dxa" w:w="150"/>
            </w:tcMar>
            <w:vAlign w:val="center"/>
          </w:tcPr>
          <w:p>
            <w:r>
              <w:rPr>
                <w:rFonts w:ascii="Arial" w:cs="Arial" w:eastAsia="Arial" w:hAnsi="Arial"/>
                <w:b/>
                <w:bCs/>
                <w:color w:val="FFFFFF"/>
                <w:sz w:val="19"/>
                <w:szCs w:val="19"/>
              </w:rPr>
              <w:t xml:space="preserve">2 400,00 €</w:t>
            </w:r>
          </w:p>
        </w:tc>
        <w:tc>
          <w:tcPr>
            <w:tcW w:type="dxa" w:w="2890"/>
            <w:tcBorders>
              <w:top w:val="single" w:color="8E9DAE" w:sz="1"/>
              <w:left w:val="single" w:color="8E9DAE" w:sz="1"/>
              <w:bottom w:val="single" w:color="8E9DAE" w:sz="1"/>
              <w:right w:val="single" w:color="8E9DAE" w:sz="1"/>
            </w:tcBorders>
            <w:shd w:fill="F4F6F9"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DÉLAIS ET CALENDRIER PRÉVISIONNEL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3"/>
        <w:gridCol w:w="6973"/>
      </w:tblGrid>
      <w:tr>
        <w:tc>
          <w:tcPr>
            <w:tcW w:type="dxa" w:w="2053"/>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PRESTATION</w:t>
            </w:r>
          </w:p>
        </w:tc>
        <w:tc>
          <w:tcPr>
            <w:tcW w:type="dxa" w:w="6973"/>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DÉLAI PRÉVISIONNEL</w:t>
            </w:r>
          </w:p>
        </w:tc>
      </w:tr>
      <w:tr>
        <w:tc>
          <w:tcPr>
            <w:tcW w:type="dxa" w:w="2053"/>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Mission Spéciale</w:t>
            </w:r>
          </w:p>
        </w:tc>
        <w:tc>
          <w:tcPr>
            <w:tcW w:type="dxa" w:w="6973"/>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Selon planning du maître d'ouvrage</w:t>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ORDRE DE MISSION — SIGNATURES</w:t>
      </w:r>
    </w:p>
    <w:p/>
    <w:tbl>
      <w:tblPr>
        <w:tblW w:type="dxa" w:w="9062"/>
        <w:tblBorders>
          <w:top w:val="single" w:color="auto" w:sz="4"/>
          <w:left w:val="single" w:color="auto" w:sz="4"/>
          <w:bottom w:val="single" w:color="auto" w:sz="4"/>
          <w:right w:val="single" w:color="auto" w:sz="4"/>
          <w:insideH w:val="single" w:color="auto" w:sz="4"/>
          <w:insideV w:val="single" w:color="auto" w:sz="4"/>
        </w:tblBorders>
      </w:tblPr>
      <w:tblGrid>
        <w:gridCol w:w="4252"/>
        <w:gridCol w:w="320"/>
        <w:gridCol w:w="4490"/>
      </w:tblGrid>
      <w:tr>
        <w:tc>
          <w:tcPr>
            <w:tcW w:type="dxa" w:w="4252"/>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LE CLIENT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1A2B4C" w:val="clear"/>
            <w:tcMar>
              <w:top w:type="dxa" w:w="100"/>
              <w:left w:type="dxa" w:w="150"/>
              <w:bottom w:type="dxa" w:w="100"/>
              <w:right w:type="dxa" w:w="150"/>
            </w:tcMar>
            <w:vAlign w:val="center"/>
          </w:tcPr>
          <w:p>
            <w:r>
              <w:rPr>
                <w:rFonts w:ascii="Arial" w:cs="Arial" w:eastAsia="Arial" w:hAnsi="Arial"/>
                <w:b/>
                <w:bCs/>
                <w:color w:val="FFFFFF"/>
                <w:sz w:val="19"/>
                <w:szCs w:val="19"/>
              </w:rPr>
              <w:t xml:space="preserve">LVO-INGENIERIE</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Accepté par :  Mr Hatem LEMBARKI</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Fonction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Fonction : Fondateur Gérant</w:t>
            </w:r>
          </w:p>
        </w:tc>
      </w:tr>
      <w:tr>
        <w:tc>
          <w:tcPr>
            <w:tcW w:type="dxa" w:w="4252"/>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bCs/>
                <w:color w:val="1A2B4C"/>
                <w:sz w:val="19"/>
                <w:szCs w:val="19"/>
              </w:rPr>
              <w:t xml:space="preserve">Date :</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E8EDF4" w:val="clear"/>
            <w:tcMar>
              <w:top w:type="dxa" w:w="100"/>
              <w:left w:type="dxa" w:w="150"/>
              <w:bottom w:type="dxa" w:w="100"/>
              <w:right w:type="dxa" w:w="150"/>
            </w:tcMar>
            <w:vAlign w:val="center"/>
          </w:tcPr>
          <w:p>
            <w:r>
              <w:rPr>
                <w:rFonts w:ascii="Arial" w:cs="Arial" w:eastAsia="Arial" w:hAnsi="Arial"/>
                <w:b w:val="false"/>
                <w:bCs w:val="false"/>
                <w:color w:val="333333"/>
                <w:sz w:val="19"/>
                <w:szCs w:val="19"/>
              </w:rPr>
              <w:t xml:space="preserve">Date :  21 septembre 2026</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Signature &amp; cachet</w:t>
            </w:r>
          </w:p>
        </w:tc>
      </w:tr>
      <w:tr>
        <w:tc>
          <w:tcPr>
            <w:tcW w:type="dxa" w:w="4252"/>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r>
              <w:rPr>
                <w:rFonts w:ascii="Arial" w:cs="Arial" w:eastAsia="Arial" w:hAnsi="Arial"/>
                <w:b/>
                <w:bCs/>
                <w:color w:val="1A2B4C"/>
                <w:sz w:val="19"/>
                <w:szCs w:val="19"/>
              </w:rPr>
              <w:t xml:space="preserve"/>
            </w:r>
          </w:p>
        </w:tc>
        <w:tc>
          <w:tcPr>
            <w:tcW w:type="dxa" w:w="320"/>
            <w:tcBorders>
              <w:top w:val="none" w:color="FFFFFF" w:sz="0"/>
              <w:left w:val="none" w:color="FFFFFF" w:sz="0"/>
              <w:bottom w:val="none" w:color="FFFFFF" w:sz="0"/>
              <w:right w:val="none" w:color="FFFFFF" w:sz="0"/>
            </w:tcBorders>
            <w:shd w:fill="FFFFFF" w:val="clear"/>
            <w:tcMar>
              <w:top w:type="dxa" w:w="100"/>
              <w:left w:type="dxa" w:w="150"/>
              <w:bottom w:type="dxa" w:w="100"/>
              <w:right w:type="dxa" w:w="150"/>
            </w:tcMar>
            <w:vAlign w:val="center"/>
          </w:tcPr>
          <w:p/>
        </w:tc>
        <w:tc>
          <w:tcPr>
            <w:tcW w:type="dxa" w:w="4490"/>
            <w:tcBorders>
              <w:top w:val="single" w:color="8E9DAE" w:sz="1"/>
              <w:left w:val="single" w:color="8E9DAE" w:sz="1"/>
              <w:bottom w:val="single" w:color="8E9DAE" w:sz="1"/>
              <w:right w:val="single" w:color="8E9DAE" w:sz="1"/>
            </w:tcBorders>
            <w:shd w:fill="FFFFFF" w:val="clear"/>
            <w:tcMar>
              <w:top w:type="dxa" w:w="100"/>
              <w:left w:type="dxa" w:w="150"/>
              <w:bottom w:type="dxa" w:w="100"/>
              <w:right w:type="dxa" w:w="150"/>
            </w:tcMar>
            <w:vAlign w:val="center"/>
          </w:tcPr>
          <w:p>
            <w:pPr>
              <w:keepNext w:val="false"/>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r>
    </w:tbl>
    <w:p>
      <w:pPr>
        <w:pageBreakBefore/>
      </w:pPr>
    </w:p>
    <w:p>
      <w:pPr>
        <w:pBdr>
          <w:bottom w:val="single" w:color="FF6B00" w:sz="6" w:space="4"/>
        </w:pBdr>
        <w:spacing w:after="200"/>
      </w:pPr>
      <w:r>
        <w:rPr>
          <w:rFonts w:ascii="Arial" w:cs="Arial" w:eastAsia="Arial" w:hAnsi="Arial"/>
          <w:b/>
          <w:bCs/>
          <w:color w:val="1A2B4C"/>
          <w:sz w:val="26"/>
          <w:szCs w:val="26"/>
        </w:rPr>
        <w:t xml:space="preserve">INFORMATIONS ET CONDITIONS GÉNÉRALES DE VENTES</w:t>
      </w:r>
    </w:p>
    <w:p/>
    <w:p>
      <w:pPr>
        <w:keepNext w:val="false"/>
        <w:spacing w:after="120"/>
        <w:jc w:val="both"/>
      </w:pPr>
      <w:r>
        <w:rPr>
          <w:rFonts w:ascii="Arial" w:cs="Arial" w:eastAsia="Arial" w:hAnsi="Arial"/>
          <w:b/>
          <w:bCs/>
          <w:i w:val="false"/>
          <w:iCs w:val="false"/>
          <w:color w:val="1A2B4C"/>
          <w:sz w:val="22"/>
          <w:szCs w:val="22"/>
        </w:rPr>
        <w:t xml:space="preserve">Introduction</w:t>
      </w:r>
    </w:p>
    <w:p>
      <w:pPr>
        <w:keepNext w:val="false"/>
        <w:spacing w:after="120"/>
        <w:jc w:val="both"/>
      </w:pPr>
      <w:r>
        <w:rPr>
          <w:rFonts w:ascii="Arial" w:cs="Arial" w:eastAsia="Arial" w:hAnsi="Arial"/>
          <w:b w:val="false"/>
          <w:bCs w:val="false"/>
          <w:i w:val="false"/>
          <w:iCs w:val="false"/>
          <w:color w:val="000000"/>
          <w:sz w:val="18"/>
          <w:szCs w:val="18"/>
        </w:rPr>
        <w:t xml:space="preserve">Les mentions « nous » et « le bureau d'études » renvoient à LVO-INGENIERIE, Société à responsabilité limitée sous le numéro 102 486 917 R.C.S. Saint-Denis de La Réunion, dont le siège social se trouve au Centre d'affaires CADJEE, 62 Boulevard du Chaudron, 97491 Saint-Denis La Réunion.</w:t>
      </w:r>
    </w:p>
    <w:p/>
    <w:p>
      <w:pPr>
        <w:keepNext w:val="false"/>
        <w:spacing w:after="120"/>
        <w:jc w:val="both"/>
      </w:pPr>
      <w:r>
        <w:rPr>
          <w:rFonts w:ascii="Arial" w:cs="Arial" w:eastAsia="Arial" w:hAnsi="Arial"/>
          <w:b/>
          <w:bCs/>
          <w:i w:val="false"/>
          <w:iCs w:val="false"/>
          <w:color w:val="EA4E00"/>
          <w:sz w:val="22"/>
          <w:szCs w:val="22"/>
        </w:rPr>
        <w:t xml:space="preserve">1. RESPONSABILITÉ CONCERNANT VOS TRAVAUX</w:t>
      </w:r>
    </w:p>
    <w:p>
      <w:pPr>
        <w:keepNext w:val="false"/>
        <w:spacing w:after="120"/>
        <w:jc w:val="both"/>
      </w:pPr>
      <w:r>
        <w:rPr>
          <w:rFonts w:ascii="Arial" w:cs="Arial" w:eastAsia="Arial" w:hAnsi="Arial"/>
          <w:b w:val="false"/>
          <w:bCs w:val="false"/>
          <w:i w:val="false"/>
          <w:iCs w:val="false"/>
          <w:color w:val="000000"/>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w:t>
      </w:r>
    </w:p>
    <w:p>
      <w:pPr>
        <w:keepNext w:val="false"/>
        <w:spacing w:after="120"/>
        <w:jc w:val="both"/>
      </w:pPr>
      <w:r>
        <w:rPr>
          <w:rFonts w:ascii="Arial" w:cs="Arial" w:eastAsia="Arial" w:hAnsi="Arial"/>
          <w:b/>
          <w:bCs/>
          <w:i w:val="false"/>
          <w:iCs w:val="false"/>
          <w:color w:val="EA4E00"/>
          <w:sz w:val="22"/>
          <w:szCs w:val="22"/>
        </w:rPr>
        <w:t xml:space="preserve">2. LA MANIÈRE DONT NOUS EXÉCUTONS VOS INSTRUCTIONS</w:t>
      </w:r>
    </w:p>
    <w:p>
      <w:pPr>
        <w:keepNext w:val="false"/>
        <w:spacing w:after="120"/>
        <w:jc w:val="both"/>
      </w:pPr>
      <w:r>
        <w:rPr>
          <w:rFonts w:ascii="Arial" w:cs="Arial" w:eastAsia="Arial" w:hAnsi="Arial"/>
          <w:b w:val="false"/>
          <w:bCs w:val="false"/>
          <w:i w:val="false"/>
          <w:iCs w:val="false"/>
          <w:color w:val="000000"/>
          <w:sz w:val="20"/>
          <w:szCs w:val="20"/>
        </w:rPr>
        <w:t xml:space="preserve">Le cas échéant, nous conviendrons d'une stratégie concernant vos travaux et nous vous tiendrons au courant de leur évolution, afin que vous puissiez prendre des décisions éclairées le moment voulu. Si vous souhaitez opter pour une solution contraire à notre conseil, nous vous demanderons de confirmer vos instructions par écrit. Nous nous engageons à respecter toute échéance convenue, sauf accord écrit contraire stipulant une heure, une date ou une période de livraison.</w:t>
      </w:r>
    </w:p>
    <w:p>
      <w:pPr>
        <w:keepNext w:val="false"/>
        <w:spacing w:after="120"/>
        <w:jc w:val="both"/>
      </w:pPr>
      <w:r>
        <w:rPr>
          <w:rFonts w:ascii="Arial" w:cs="Arial" w:eastAsia="Arial" w:hAnsi="Arial"/>
          <w:b/>
          <w:bCs/>
          <w:i w:val="false"/>
          <w:iCs w:val="false"/>
          <w:color w:val="EA4E00"/>
          <w:sz w:val="22"/>
          <w:szCs w:val="22"/>
        </w:rPr>
        <w:t xml:space="preserve">3. CONCLUSION DU CONTRAT</w:t>
      </w:r>
    </w:p>
    <w:p>
      <w:pPr>
        <w:keepNext w:val="false"/>
        <w:spacing w:after="120"/>
        <w:jc w:val="both"/>
      </w:pPr>
      <w:r>
        <w:rPr>
          <w:rFonts w:ascii="Arial" w:cs="Arial" w:eastAsia="Arial" w:hAnsi="Arial"/>
          <w:b w:val="false"/>
          <w:bCs w:val="false"/>
          <w:i w:val="false"/>
          <w:iCs w:val="false"/>
          <w:color w:val="000000"/>
          <w:sz w:val="20"/>
          <w:szCs w:val="20"/>
        </w:rPr>
        <w:t xml:space="preserve">Nous vous informons que la signature de l'ordre de mission vaut pour acceptation des présentes Conditions Générales. Tout ordre de mission surchargé ou raturé sera considéré comme nul.</w:t>
      </w:r>
    </w:p>
    <w:p>
      <w:pPr>
        <w:keepNext w:val="false"/>
        <w:spacing w:after="120"/>
        <w:jc w:val="both"/>
      </w:pPr>
      <w:r>
        <w:rPr>
          <w:rFonts w:ascii="Arial" w:cs="Arial" w:eastAsia="Arial" w:hAnsi="Arial"/>
          <w:b/>
          <w:bCs/>
          <w:i w:val="false"/>
          <w:iCs w:val="false"/>
          <w:color w:val="EA4E00"/>
          <w:sz w:val="22"/>
          <w:szCs w:val="22"/>
        </w:rPr>
        <w:t xml:space="preserve">4. PORTÉE DE NOTRE CONSEIL</w:t>
      </w:r>
    </w:p>
    <w:p>
      <w:pPr>
        <w:keepNext w:val="false"/>
        <w:spacing w:after="120"/>
        <w:jc w:val="both"/>
      </w:pPr>
      <w:r>
        <w:rPr>
          <w:rFonts w:ascii="Arial" w:cs="Arial" w:eastAsia="Arial" w:hAnsi="Arial"/>
          <w:b w:val="false"/>
          <w:bCs w:val="false"/>
          <w:i w:val="false"/>
          <w:iCs w:val="false"/>
          <w:color w:val="000000"/>
          <w:sz w:val="20"/>
          <w:szCs w:val="20"/>
        </w:rPr>
        <w:t xml:space="preserve">4.1 Notre expertise et notre conseil sont spécialisés et découlent de notre expérience ainsi que des codes, normes, lois applicables dans le territoire concerné. Notre expertise relève du domaine du « transport des personnes et des biens ».</w:t>
      </w:r>
    </w:p>
    <w:p>
      <w:pPr>
        <w:keepNext w:val="false"/>
        <w:spacing w:after="120"/>
        <w:jc w:val="both"/>
      </w:pPr>
      <w:r>
        <w:rPr>
          <w:rFonts w:ascii="Arial" w:cs="Arial" w:eastAsia="Arial" w:hAnsi="Arial"/>
          <w:b w:val="false"/>
          <w:bCs w:val="false"/>
          <w:i w:val="false"/>
          <w:iCs w:val="false"/>
          <w:color w:val="000000"/>
          <w:sz w:val="20"/>
          <w:szCs w:val="20"/>
        </w:rPr>
        <w:t xml:space="preserve">4.2 Nous fournissons un conseil et préparons des documents en tenant compte des codes, normes et lois en vigueur au moment de la livraison. Ces éléments sont uniquement censés être utilisés en rapport avec le projet spécifique qui nous a été confié.</w:t>
      </w:r>
    </w:p>
    <w:p>
      <w:pPr>
        <w:keepNext w:val="false"/>
        <w:spacing w:after="120"/>
        <w:jc w:val="both"/>
      </w:pPr>
      <w:r>
        <w:rPr>
          <w:rFonts w:ascii="Arial" w:cs="Arial" w:eastAsia="Arial" w:hAnsi="Arial"/>
          <w:b/>
          <w:bCs/>
          <w:i w:val="false"/>
          <w:iCs w:val="false"/>
          <w:color w:val="EA4E00"/>
          <w:sz w:val="22"/>
          <w:szCs w:val="22"/>
        </w:rPr>
        <w:t xml:space="preserve">5. HONORAIRES ET FRAIS</w:t>
      </w:r>
    </w:p>
    <w:p>
      <w:pPr>
        <w:keepNext w:val="false"/>
        <w:spacing w:after="120"/>
        <w:jc w:val="both"/>
      </w:pPr>
      <w:r>
        <w:rPr>
          <w:rFonts w:ascii="Arial" w:cs="Arial" w:eastAsia="Arial" w:hAnsi="Arial"/>
          <w:b w:val="false"/>
          <w:bCs w:val="false"/>
          <w:i w:val="false"/>
          <w:iCs w:val="false"/>
          <w:color w:val="000000"/>
          <w:sz w:val="20"/>
          <w:szCs w:val="20"/>
        </w:rPr>
        <w:t xml:space="preserve">Les honoraires sont calculés en grande partie en fonction du temps nécessaire pour réaliser les travaux pendant les heures de bureau habituelles. D'autres facteurs peuvent intervenir, tels que la nécessité d'agir rapidement, la complexité du projet, des déplacements, et le volume de la documentation. Les tarifs horaires sont revalorisés chaque année au 1er janvier. TVA : les honoraires et frais sont assujettis à la TVA au taux en vigueur : 8.5 % (ou 2,1 % avec justificatif : immeuble construit depuis plus de 2 ans, en majorité à usage copropriété).</w:t>
      </w:r>
    </w:p>
    <w:p>
      <w:pPr>
        <w:keepNext w:val="false"/>
        <w:spacing w:after="120"/>
        <w:jc w:val="both"/>
      </w:pPr>
      <w:r>
        <w:rPr>
          <w:rFonts w:ascii="Arial" w:cs="Arial" w:eastAsia="Arial" w:hAnsi="Arial"/>
          <w:b/>
          <w:bCs/>
          <w:i w:val="false"/>
          <w:iCs w:val="false"/>
          <w:color w:val="EA4E00"/>
          <w:sz w:val="22"/>
          <w:szCs w:val="22"/>
        </w:rPr>
        <w:t xml:space="preserve">6. FACTURES</w:t>
      </w:r>
    </w:p>
    <w:p>
      <w:pPr>
        <w:keepNext w:val="false"/>
        <w:spacing w:after="120"/>
        <w:jc w:val="both"/>
      </w:pPr>
      <w:r>
        <w:rPr>
          <w:rFonts w:ascii="Arial" w:cs="Arial" w:eastAsia="Arial" w:hAnsi="Arial"/>
          <w:b w:val="false"/>
          <w:bCs w:val="false"/>
          <w:i w:val="false"/>
          <w:iCs w:val="false"/>
          <w:color w:val="000000"/>
          <w:sz w:val="20"/>
          <w:szCs w:val="20"/>
        </w:rPr>
        <w:t xml:space="preserve">Nos factures sont envoyées tous les mois, sauf accord contraire. Conformément à la loi N°92-4442 du 31/12/1992, les notes d'honoraires sont payables comptant à réception. Toute facture non réglée dans les 30 jours entraîne des intérêts de 2 % par mois de retard sur le montant dû. Nous nous réservons le droit d'interrompre le travail jusqu'au règlement intégral des factures impayées.</w:t>
      </w:r>
    </w:p>
    <w:p>
      <w:pPr>
        <w:keepNext w:val="false"/>
        <w:spacing w:after="120"/>
        <w:jc w:val="both"/>
      </w:pPr>
      <w:r>
        <w:rPr>
          <w:rFonts w:ascii="Arial" w:cs="Arial" w:eastAsia="Arial" w:hAnsi="Arial"/>
          <w:b/>
          <w:bCs/>
          <w:i w:val="false"/>
          <w:iCs w:val="false"/>
          <w:color w:val="EA4E00"/>
          <w:sz w:val="22"/>
          <w:szCs w:val="22"/>
        </w:rPr>
        <w:t xml:space="preserve">7. CONFIDENTIALITÉ</w:t>
      </w:r>
    </w:p>
    <w:p>
      <w:pPr>
        <w:keepNext w:val="false"/>
        <w:spacing w:after="120"/>
        <w:jc w:val="both"/>
      </w:pPr>
      <w:r>
        <w:rPr>
          <w:rFonts w:ascii="Arial" w:cs="Arial" w:eastAsia="Arial" w:hAnsi="Arial"/>
          <w:b w:val="false"/>
          <w:bCs w:val="false"/>
          <w:i w:val="false"/>
          <w:iCs w:val="false"/>
          <w:color w:val="000000"/>
          <w:sz w:val="20"/>
          <w:szCs w:val="20"/>
        </w:rPr>
        <w:t xml:space="preserve">Nous considérerons comme confidentielles toutes les informations que vous nous confiez, ainsi que toutes les informations en rapport avec les projets nous incombant. Nous ne divulguerons pas les informations confidentielles à un tiers, sauf si vous y consentez par écrit au préalable ou si cela est nécessaire dans le cadre de notre prestation de services, ou dans la mesure où la loi l'exige.</w:t>
      </w:r>
    </w:p>
    <w:p>
      <w:pPr>
        <w:keepNext w:val="false"/>
        <w:spacing w:after="120"/>
        <w:jc w:val="both"/>
      </w:pPr>
      <w:r>
        <w:rPr>
          <w:rFonts w:ascii="Arial" w:cs="Arial" w:eastAsia="Arial" w:hAnsi="Arial"/>
          <w:b/>
          <w:bCs/>
          <w:i w:val="false"/>
          <w:iCs w:val="false"/>
          <w:color w:val="EA4E00"/>
          <w:sz w:val="22"/>
          <w:szCs w:val="22"/>
        </w:rPr>
        <w:t xml:space="preserve">8. INSTRUCTIONS DU CLIENT</w:t>
      </w:r>
    </w:p>
    <w:p>
      <w:pPr>
        <w:keepNext w:val="false"/>
        <w:spacing w:after="120"/>
        <w:jc w:val="both"/>
      </w:pPr>
      <w:r>
        <w:rPr>
          <w:rFonts w:ascii="Arial" w:cs="Arial" w:eastAsia="Arial" w:hAnsi="Arial"/>
          <w:b w:val="false"/>
          <w:bCs w:val="false"/>
          <w:i w:val="false"/>
          <w:iCs w:val="false"/>
          <w:color w:val="000000"/>
          <w:sz w:val="20"/>
          <w:szCs w:val="20"/>
        </w:rPr>
        <w:t xml:space="preserve">Vous acceptez de veiller à ce que nous ayons connaissance de tous les éléments de votre projet, de nous communiquer vos instructions en temps opportun et de manière précise, de nous informer rapidement de tout changement de situation influant sur votre projet, et de répondre rapidement à nos demandes d'instruction. Vous convenez que nous n'aurons qu'un seul interlocuteur au sein de votre organisation qui jouera le rôle de point de contact central.</w:t>
      </w:r>
    </w:p>
    <w:p>
      <w:pPr>
        <w:keepNext w:val="false"/>
        <w:spacing w:after="120"/>
        <w:jc w:val="both"/>
      </w:pPr>
      <w:r>
        <w:rPr>
          <w:rFonts w:ascii="Arial" w:cs="Arial" w:eastAsia="Arial" w:hAnsi="Arial"/>
          <w:b/>
          <w:bCs/>
          <w:i w:val="false"/>
          <w:iCs w:val="false"/>
          <w:color w:val="EA4E00"/>
          <w:sz w:val="22"/>
          <w:szCs w:val="22"/>
        </w:rPr>
        <w:t xml:space="preserve">9. PROTECTION DES DONNÉES</w:t>
      </w:r>
    </w:p>
    <w:p>
      <w:pPr>
        <w:keepNext w:val="false"/>
        <w:spacing w:after="120"/>
        <w:jc w:val="both"/>
      </w:pPr>
      <w:r>
        <w:rPr>
          <w:rFonts w:ascii="Arial" w:cs="Arial" w:eastAsia="Arial" w:hAnsi="Arial"/>
          <w:b w:val="false"/>
          <w:bCs w:val="false"/>
          <w:i w:val="false"/>
          <w:iCs w:val="false"/>
          <w:color w:val="000000"/>
          <w:sz w:val="20"/>
          <w:szCs w:val="20"/>
        </w:rPr>
        <w:t xml:space="preserve">Nous traiterons les données personnelles que vous nous confiez aux fins suivantes : (i) exécuter le travail conformément à vos instructions, (ii) fournir des instructions aux personnes travaillant pour vous, (iii) respecter nos obligations légales et professionnelles, et (iv) maintenir et utiliser nos bases de données de clients/contacts.</w:t>
      </w:r>
    </w:p>
    <w:p>
      <w:pPr>
        <w:keepNext w:val="false"/>
        <w:spacing w:after="120"/>
        <w:jc w:val="both"/>
      </w:pPr>
      <w:r>
        <w:rPr>
          <w:rFonts w:ascii="Arial" w:cs="Arial" w:eastAsia="Arial" w:hAnsi="Arial"/>
          <w:b/>
          <w:bCs/>
          <w:i w:val="false"/>
          <w:iCs w:val="false"/>
          <w:color w:val="EA4E00"/>
          <w:sz w:val="22"/>
          <w:szCs w:val="22"/>
        </w:rPr>
        <w:t xml:space="preserve">10. FICHIERS, DOCUMENTS ET DONNÉES ÉLECTRONIQUES</w:t>
      </w:r>
    </w:p>
    <w:p>
      <w:pPr>
        <w:keepNext w:val="false"/>
        <w:spacing w:after="120"/>
        <w:jc w:val="both"/>
      </w:pPr>
      <w:r>
        <w:rPr>
          <w:rFonts w:ascii="Arial" w:cs="Arial" w:eastAsia="Arial" w:hAnsi="Arial"/>
          <w:b w:val="false"/>
          <w:bCs w:val="false"/>
          <w:i w:val="false"/>
          <w:iCs w:val="false"/>
          <w:color w:val="000000"/>
          <w:sz w:val="20"/>
          <w:szCs w:val="20"/>
        </w:rPr>
        <w:t xml:space="preserve">Nous pourrons conserver des fichiers et autres documents en rapport avec vos projets au format électronique ou en version papier. Nous avons instauré des mesures de sécurité visant à garantir le respect de nos obligations de confidentialité. Vous pouvez nous demander de vous envoyer les fichiers et documents en rapport avec votre projet. Nous nous réservons le droit de conserver des copies pour nos propres archives.</w:t>
      </w:r>
    </w:p>
    <w:p>
      <w:pPr>
        <w:keepNext w:val="false"/>
        <w:spacing w:after="120"/>
        <w:jc w:val="both"/>
      </w:pPr>
      <w:r>
        <w:rPr>
          <w:rFonts w:ascii="Arial" w:cs="Arial" w:eastAsia="Arial" w:hAnsi="Arial"/>
          <w:b/>
          <w:bCs/>
          <w:i w:val="false"/>
          <w:iCs w:val="false"/>
          <w:color w:val="EA4E00"/>
          <w:sz w:val="22"/>
          <w:szCs w:val="22"/>
        </w:rPr>
        <w:t xml:space="preserve">11. PROPRIÉTÉ INTELLECTUELLE</w:t>
      </w:r>
    </w:p>
    <w:p>
      <w:pPr>
        <w:keepNext w:val="false"/>
        <w:spacing w:after="120"/>
        <w:jc w:val="both"/>
      </w:pPr>
      <w:r>
        <w:rPr>
          <w:rFonts w:ascii="Arial" w:cs="Arial" w:eastAsia="Arial" w:hAnsi="Arial"/>
          <w:b w:val="false"/>
          <w:bCs w:val="false"/>
          <w:i w:val="false"/>
          <w:iCs w:val="false"/>
          <w:color w:val="000000"/>
          <w:sz w:val="20"/>
          <w:szCs w:val="20"/>
        </w:rPr>
        <w:t xml:space="preserve">11.1 Nous conservons les droits d'auteur sur tout document ou outil de travail que nous avons préparé pour vous, sauf accord spécifique contraire.</w:t>
      </w:r>
    </w:p>
    <w:p>
      <w:pPr>
        <w:keepNext w:val="false"/>
        <w:spacing w:after="120"/>
        <w:jc w:val="both"/>
      </w:pPr>
      <w:r>
        <w:rPr>
          <w:rFonts w:ascii="Arial" w:cs="Arial" w:eastAsia="Arial" w:hAnsi="Arial"/>
          <w:b w:val="false"/>
          <w:bCs w:val="false"/>
          <w:i w:val="false"/>
          <w:iCs w:val="false"/>
          <w:color w:val="000000"/>
          <w:sz w:val="20"/>
          <w:szCs w:val="20"/>
        </w:rPr>
        <w:t xml:space="preserve">11.2 Nous vous accordons une licence non exclusive sans droits d'auteur, vous autorisant à utiliser les documents uniquement dans le cadre du projet pour lequel ils ont été élaborés ou produits.</w:t>
      </w:r>
    </w:p>
    <w:p>
      <w:pPr>
        <w:keepNext w:val="false"/>
        <w:spacing w:after="120"/>
        <w:jc w:val="both"/>
      </w:pPr>
      <w:r>
        <w:rPr>
          <w:rFonts w:ascii="Arial" w:cs="Arial" w:eastAsia="Arial" w:hAnsi="Arial"/>
          <w:b/>
          <w:bCs/>
          <w:i w:val="false"/>
          <w:iCs w:val="false"/>
          <w:color w:val="EA4E00"/>
          <w:sz w:val="22"/>
          <w:szCs w:val="22"/>
        </w:rPr>
        <w:t xml:space="preserve">12. RESPONSABILITÉ</w:t>
      </w:r>
    </w:p>
    <w:p>
      <w:pPr>
        <w:keepNext w:val="false"/>
        <w:spacing w:after="120"/>
        <w:jc w:val="both"/>
      </w:pPr>
      <w:r>
        <w:rPr>
          <w:rFonts w:ascii="Arial" w:cs="Arial" w:eastAsia="Arial" w:hAnsi="Arial"/>
          <w:b w:val="false"/>
          <w:bCs w:val="false"/>
          <w:i w:val="false"/>
          <w:iCs w:val="false"/>
          <w:color w:val="000000"/>
          <w:sz w:val="20"/>
          <w:szCs w:val="20"/>
        </w:rPr>
        <w:t xml:space="preserve">12.1 Pendant la période où ce contrat est en vigueur, nous souscrirons une assurance accidents du travail et une assurance de responsabilité civile.</w:t>
      </w:r>
    </w:p>
    <w:p>
      <w:pPr>
        <w:keepNext w:val="false"/>
        <w:spacing w:after="120"/>
        <w:jc w:val="both"/>
      </w:pPr>
      <w:r>
        <w:rPr>
          <w:rFonts w:ascii="Arial" w:cs="Arial" w:eastAsia="Arial" w:hAnsi="Arial"/>
          <w:b w:val="false"/>
          <w:bCs w:val="false"/>
          <w:i w:val="false"/>
          <w:iCs w:val="false"/>
          <w:color w:val="000000"/>
          <w:sz w:val="20"/>
          <w:szCs w:val="20"/>
        </w:rPr>
        <w:t xml:space="preserve">12.2 La portée de notre travail ne comprendra pas de conseils sur les répercussions commerciales d'un projet, sur des problèmes financiers ou comptables.</w:t>
      </w:r>
    </w:p>
    <w:p>
      <w:pPr>
        <w:keepNext w:val="false"/>
        <w:spacing w:after="120"/>
        <w:jc w:val="both"/>
      </w:pPr>
      <w:r>
        <w:rPr>
          <w:rFonts w:ascii="Arial" w:cs="Arial" w:eastAsia="Arial" w:hAnsi="Arial"/>
          <w:b w:val="false"/>
          <w:bCs w:val="false"/>
          <w:i w:val="false"/>
          <w:iCs w:val="false"/>
          <w:color w:val="000000"/>
          <w:sz w:val="20"/>
          <w:szCs w:val="20"/>
        </w:rPr>
        <w:t xml:space="preserve">12.3 Notre conseil est spécifique à votre situation. Nous nous dégageons de toute responsabilité vis-à-vis de toute personne à qui notre conseil ne s'adresse pas.</w:t>
      </w:r>
    </w:p>
    <w:p>
      <w:pPr>
        <w:keepNext w:val="false"/>
        <w:spacing w:after="120"/>
        <w:jc w:val="both"/>
      </w:pPr>
      <w:r>
        <w:rPr>
          <w:rFonts w:ascii="Arial" w:cs="Arial" w:eastAsia="Arial" w:hAnsi="Arial"/>
          <w:b/>
          <w:bCs/>
          <w:i w:val="false"/>
          <w:iCs w:val="false"/>
          <w:color w:val="EA4E00"/>
          <w:sz w:val="22"/>
          <w:szCs w:val="22"/>
        </w:rPr>
        <w:t xml:space="preserve">13. PROCÉDURE DE PLAINTE</w:t>
      </w:r>
    </w:p>
    <w:p>
      <w:pPr>
        <w:keepNext w:val="false"/>
        <w:spacing w:after="120"/>
        <w:jc w:val="both"/>
      </w:pPr>
      <w:r>
        <w:rPr>
          <w:rFonts w:ascii="Arial" w:cs="Arial" w:eastAsia="Arial" w:hAnsi="Arial"/>
          <w:b w:val="false"/>
          <w:bCs w:val="false"/>
          <w:i w:val="false"/>
          <w:iCs w:val="false"/>
          <w:color w:val="000000"/>
          <w:sz w:val="20"/>
          <w:szCs w:val="20"/>
        </w:rPr>
        <w:t xml:space="preserve">13.1 Le bureau d'études s'engage à fournir un service de haute qualité. Tous les litiges auxquels le marché pourra donner lieu seront, dans toute la mesure du possible, résolus amiablement, et éventuellement par voie d'arbitrage. Les litiges sont portés devant les tribunaux de Saint-Denis La Réunion. Le droit applicable est le droit français.</w:t>
      </w:r>
    </w:p>
    <w:p>
      <w:pPr>
        <w:keepNext w:val="false"/>
        <w:spacing w:after="120"/>
        <w:jc w:val="both"/>
      </w:pPr>
      <w:r>
        <w:rPr>
          <w:rFonts w:ascii="Arial" w:cs="Arial" w:eastAsia="Arial" w:hAnsi="Arial"/>
          <w:b w:val="false"/>
          <w:bCs w:val="false"/>
          <w:i w:val="false"/>
          <w:iCs w:val="false"/>
          <w:color w:val="000000"/>
          <w:sz w:val="20"/>
          <w:szCs w:val="20"/>
        </w:rPr>
        <w:t xml:space="preserve">13.2 En cas de demande ou de plainte concernant notre service, veuillez contacter sans délai le consultant responsable mentionné dans le contrat.</w:t>
      </w:r>
    </w:p>
    <w:p>
      <w:pPr>
        <w:keepNext w:val="false"/>
        <w:spacing w:after="120"/>
        <w:jc w:val="both"/>
      </w:pPr>
      <w:r>
        <w:rPr>
          <w:rFonts w:ascii="Arial" w:cs="Arial" w:eastAsia="Arial" w:hAnsi="Arial"/>
          <w:b/>
          <w:bCs/>
          <w:i w:val="false"/>
          <w:iCs w:val="false"/>
          <w:color w:val="EA4E00"/>
          <w:sz w:val="22"/>
          <w:szCs w:val="22"/>
        </w:rPr>
        <w:t xml:space="preserve">14. RÉSILIATION</w:t>
      </w:r>
    </w:p>
    <w:p>
      <w:pPr>
        <w:keepNext w:val="false"/>
        <w:spacing w:after="120"/>
        <w:jc w:val="both"/>
      </w:pPr>
      <w:r>
        <w:rPr>
          <w:rFonts w:ascii="Arial" w:cs="Arial" w:eastAsia="Arial" w:hAnsi="Arial"/>
          <w:b w:val="false"/>
          <w:bCs w:val="false"/>
          <w:i w:val="false"/>
          <w:iCs w:val="false"/>
          <w:color w:val="000000"/>
          <w:sz w:val="20"/>
          <w:szCs w:val="20"/>
        </w:rPr>
        <w:t xml:space="preserve">14.1 Vous pouvez résilier vos instructions à n'importe quel moment en nous en informant par écrit. Nous ne cesserons de travailler pour vous que si vous n'avez pas réglé une facture après un mois, si vous ne satisfaites pas à notre demande de régler nos honoraires, ou si nous ne pouvons pas obtenir d'instructions claires de votre part.</w:t>
      </w:r>
    </w:p>
    <w:p>
      <w:pPr>
        <w:keepNext w:val="false"/>
        <w:spacing w:after="120"/>
        <w:jc w:val="both"/>
      </w:pPr>
      <w:r>
        <w:rPr>
          <w:rFonts w:ascii="Arial" w:cs="Arial" w:eastAsia="Arial" w:hAnsi="Arial"/>
          <w:b w:val="false"/>
          <w:bCs w:val="false"/>
          <w:i w:val="false"/>
          <w:iCs w:val="false"/>
          <w:color w:val="000000"/>
          <w:sz w:val="20"/>
          <w:szCs w:val="20"/>
        </w:rPr>
        <w:t xml:space="preserve">14.2 La résiliation n'altèrera pas notre droit à obtenir le règlement du travail effectué jusqu'à la date de résiliation.</w:t>
      </w:r>
    </w:p>
    <w:p>
      <w:pPr>
        <w:keepNext w:val="false"/>
        <w:spacing w:after="120"/>
        <w:jc w:val="both"/>
      </w:pPr>
      <w:r>
        <w:rPr>
          <w:rFonts w:ascii="Arial" w:cs="Arial" w:eastAsia="Arial" w:hAnsi="Arial"/>
          <w:b/>
          <w:bCs/>
          <w:i w:val="false"/>
          <w:iCs w:val="false"/>
          <w:color w:val="EA4E00"/>
          <w:sz w:val="22"/>
          <w:szCs w:val="22"/>
        </w:rPr>
        <w:t xml:space="preserve">15. GÉNÉRALITÉS</w:t>
      </w:r>
    </w:p>
    <w:p>
      <w:pPr>
        <w:keepNext w:val="false"/>
        <w:spacing w:after="120"/>
        <w:jc w:val="both"/>
      </w:pPr>
      <w:r>
        <w:rPr>
          <w:rFonts w:ascii="Arial" w:cs="Arial" w:eastAsia="Arial" w:hAnsi="Arial"/>
          <w:b w:val="false"/>
          <w:bCs w:val="false"/>
          <w:i w:val="false"/>
          <w:iCs w:val="false"/>
          <w:color w:val="000000"/>
          <w:sz w:val="20"/>
          <w:szCs w:val="20"/>
        </w:rPr>
        <w:t xml:space="preserve">15.1 Les présentes conditions générales, de même que nos services, sont régis par le droit français et vous comme nous sommes irrévocablement assujettis à la compétence des tribunaux français.</w:t>
      </w:r>
    </w:p>
    <w:p>
      <w:pPr>
        <w:keepNext w:val="false"/>
        <w:spacing w:after="120"/>
        <w:jc w:val="both"/>
      </w:pPr>
      <w:r>
        <w:rPr>
          <w:rFonts w:ascii="Arial" w:cs="Arial" w:eastAsia="Arial" w:hAnsi="Arial"/>
          <w:b w:val="false"/>
          <w:bCs w:val="false"/>
          <w:i w:val="false"/>
          <w:iCs w:val="false"/>
          <w:color w:val="000000"/>
          <w:sz w:val="20"/>
          <w:szCs w:val="20"/>
        </w:rPr>
        <w:t xml:space="preserve">15.2 La mention « vous » ou notre « client » renvoie à nos clients, tels qu'identifiés dans la lettre que nous vous avons adressée ou dans toute autre communication écrite.</w:t>
      </w:r>
    </w:p>
    <w:p>
      <w:pPr>
        <w:keepNext w:val="false"/>
        <w:spacing w:after="120"/>
        <w:jc w:val="both"/>
      </w:pPr>
      <w:r>
        <w:rPr>
          <w:rFonts w:ascii="Arial" w:cs="Arial" w:eastAsia="Arial" w:hAnsi="Arial"/>
          <w:b w:val="false"/>
          <w:bCs w:val="false"/>
          <w:i w:val="false"/>
          <w:iCs w:val="false"/>
          <w:color w:val="000000"/>
          <w:sz w:val="20"/>
          <w:szCs w:val="20"/>
        </w:rPr>
        <w:t xml:space="preserve">15.3 Si l'une des dispositions des présentes conditions est considérée nulle ou inapplicable, l'intégralité des autres dispositions restera en vigueur et de plein effet.</w:t>
      </w:r>
    </w:p>
    <w:sectPr>
      <w:headerReference w:type="default" r:id="rId7"/>
      <w:footerReference w:type="default" r:id="rId8"/>
      <w:pgSz w:w="11906" w:h="16838" w:orient="portrait"/>
      <w:pgMar w:top="1700"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9DAE" w:sz="6" w:space="0"/>
      </w:pBdr>
      <w:tabs>
        <w:tab w:val="center" w:pos="4500"/>
        <w:tab w:val="right" w:pos="9026"/>
      </w:tabs>
      <w:spacing w:before="80"/>
    </w:pPr>
    <w:r>
      <w:rPr>
        <w:rFonts w:ascii="Arial" w:cs="Arial" w:eastAsia="Arial" w:hAnsi="Arial"/>
        <w:color w:val="8E9DAE"/>
        <w:sz w:val="16"/>
        <w:szCs w:val="16"/>
      </w:rPr>
      <w:t xml:space="preserve">LVO-INGENIERIE — LVO-MS-26105 — Offre de Service — CHU Félix Guyon</w:t>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3500"/>
          <w:vAlign w:val="center"/>
        </w:tcPr>
        <w:p>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tc>
      <w:tc>
        <w:tcPr>
          <w:tcW w:type="dxa" w:w="5526"/>
          <w:vAlign w:val="center"/>
        </w:tcPr>
        <w:p>
          <w:pPr>
            <w:jc w:val="right"/>
          </w:pPr>
          <w:r>
            <w:rPr>
              <w:rFonts w:ascii="Arial" w:cs="Arial" w:eastAsia="Arial" w:hAnsi="Arial"/>
              <w:color w:val="8E9DAE"/>
              <w:sz w:val="16"/>
              <w:szCs w:val="16"/>
            </w:rPr>
            <w:t xml:space="preserve">Centre d'affaires CADJEE — 62 Bd du Chaudron</w:t>
          </w:r>
        </w:p>
        <w:p>
          <w:pPr>
            <w:jc w:val="right"/>
          </w:pPr>
          <w:r>
            <w:rPr>
              <w:rFonts w:ascii="Arial" w:cs="Arial" w:eastAsia="Arial" w:hAnsi="Arial"/>
              <w:color w:val="8E9DAE"/>
              <w:sz w:val="16"/>
              <w:szCs w:val="16"/>
            </w:rPr>
            <w:t xml:space="preserve">97491 Saint-Denis La Réunion  |  Tél : 06 92 05 39 52</w:t>
          </w:r>
        </w:p>
        <w:p>
          <w:pPr>
            <w:jc w:val="right"/>
          </w:pPr>
          <w:r>
            <w:rPr>
              <w:rFonts w:ascii="Arial" w:cs="Arial" w:eastAsia="Arial" w:hAnsi="Arial"/>
              <w:color w:val="FF6B00"/>
              <w:sz w:val="16"/>
              <w:szCs w:val="16"/>
            </w:rPr>
            <w:t xml:space="preserve">hatem.lembarki@lvo-ing.com</w:t>
          </w:r>
        </w:p>
      </w:tc>
    </w:tr>
  </w:tbl>
  <w:p>
    <w:pPr>
      <w:pBdr>
        <w:bottom w:val="single" w:color="1A2B4C" w:sz="12" w:space="0"/>
      </w:pBdr>
      <w:spacing w:after="8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5d65ead14db9d627431505d4a3f03582223e9e.jpg"/><Relationship Id="rId10" Type="http://schemas.openxmlformats.org/officeDocument/2006/relationships/image" Target="media/40a0260124f9fa3b7ed1a57f9fbe08f5184c3cd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5d65ead14db9d627431505d4a3f03582223e9e.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2026-09-25T13:24:01.738Z</dcterms:created>
  <dcterms:modified xsi:type="dcterms:W3CDTF">2026-09-25T13:24:01.738Z</dcterms:modified>
</cp:coreProperties>
</file>

<file path=docProps/custom.xml><?xml version="1.0" encoding="utf-8"?>
<Properties xmlns="http://schemas.openxmlformats.org/officeDocument/2006/custom-properties" xmlns:vt="http://schemas.openxmlformats.org/officeDocument/2006/docPropsVTypes"/>
</file>