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900"/>
      </w:pPr>
      <w:r>
        <w:drawing>
          <wp:inline distT="0" distB="0" distL="0" distR="0">
            <wp:extent cx="22288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28850" cy="504825"/>
                    </a:xfrm>
                    <a:prstGeom prst="rect">
                      <a:avLst/>
                    </a:prstGeom>
                  </pic:spPr>
                </pic:pic>
              </a:graphicData>
            </a:graphic>
          </wp:inline>
        </w:drawing>
      </w:r>
    </w:p>
    <w:p>
      <w:pPr>
        <w:spacing w:after="140" w:line="400"/>
      </w:pPr>
      <w:r>
        <w:rPr>
          <w:rFonts w:ascii="Arial" w:cs="Arial" w:eastAsia="Arial" w:hAnsi="Arial"/>
          <w:b/>
          <w:bCs/>
          <w:color w:val="263E4F"/>
          <w:sz w:val="52"/>
          <w:szCs w:val="52"/>
        </w:rPr>
        <w:t xml:space="preserve">Business</w:t>
      </w:r>
      <w:r>
        <w:rPr>
          <w:rFonts w:ascii="Arial" w:cs="Arial" w:eastAsia="Arial" w:hAnsi="Arial"/>
          <w:b/>
          <w:bCs/>
          <w:color w:val="263E4F"/>
          <w:sz w:val="52"/>
          <w:szCs w:val="52"/>
        </w:rPr>
        <w:br/>
        <w:t xml:space="preserve">Plan</w:t>
      </w:r>
    </w:p>
    <w:p>
      <w:pPr>
        <w:pBdr>
          <w:bottom w:val="single" w:color="1C9E63" w:sz="12" w:space="10"/>
        </w:pBdr>
        <w:spacing w:after="520"/>
      </w:pPr>
    </w:p>
    <w:p>
      <w:pPr>
        <w:spacing w:after="520"/>
      </w:pPr>
      <w:r>
        <w:rPr>
          <w:rFonts w:ascii="Georgia" w:cs="Georgia" w:eastAsia="Georgia" w:hAnsi="Georgia"/>
          <w:i/>
          <w:iCs/>
          <w:color w:val="3C474F"/>
          <w:sz w:val="22"/>
          <w:szCs w:val="22"/>
        </w:rPr>
        <w:t xml:space="preserve">The market, the model, the route in, and the three numbers that decide whether this business works.</w:t>
      </w:r>
    </w:p>
    <w:p>
      <w:pPr>
        <w:spacing w:after="60"/>
      </w:pPr>
      <w:r>
        <w:rPr>
          <w:rFonts w:ascii="Arial" w:cs="Arial" w:eastAsia="Arial" w:hAnsi="Arial"/>
          <w:b/>
          <w:bCs/>
          <w:color w:val="6B7780"/>
          <w:spacing w:val="24"/>
          <w:sz w:val="15"/>
          <w:szCs w:val="15"/>
        </w:rPr>
        <w:t xml:space="preserve">DOCUMENT   </w:t>
      </w:r>
      <w:r>
        <w:rPr>
          <w:rFonts w:ascii="Arial" w:cs="Arial" w:eastAsia="Arial" w:hAnsi="Arial"/>
          <w:color w:val="263E4F"/>
          <w:sz w:val="18"/>
          <w:szCs w:val="18"/>
        </w:rPr>
        <w:t xml:space="preserve">BUS-001</w:t>
      </w:r>
    </w:p>
    <w:p>
      <w:pPr>
        <w:spacing w:after="60"/>
      </w:pPr>
      <w:r>
        <w:rPr>
          <w:rFonts w:ascii="Arial" w:cs="Arial" w:eastAsia="Arial" w:hAnsi="Arial"/>
          <w:b/>
          <w:bCs/>
          <w:color w:val="6B7780"/>
          <w:spacing w:val="24"/>
          <w:sz w:val="15"/>
          <w:szCs w:val="15"/>
        </w:rPr>
        <w:t xml:space="preserve">VERSION   </w:t>
      </w:r>
      <w:r>
        <w:rPr>
          <w:rFonts w:ascii="Arial" w:cs="Arial" w:eastAsia="Arial" w:hAnsi="Arial"/>
          <w:color w:val="263E4F"/>
          <w:sz w:val="18"/>
          <w:szCs w:val="18"/>
        </w:rPr>
        <w:t xml:space="preserve">2.0</w:t>
      </w:r>
    </w:p>
    <w:p>
      <w:pPr>
        <w:spacing w:after="60"/>
      </w:pPr>
      <w:r>
        <w:rPr>
          <w:rFonts w:ascii="Arial" w:cs="Arial" w:eastAsia="Arial" w:hAnsi="Arial"/>
          <w:b/>
          <w:bCs/>
          <w:color w:val="6B7780"/>
          <w:spacing w:val="24"/>
          <w:sz w:val="15"/>
          <w:szCs w:val="15"/>
        </w:rPr>
        <w:t xml:space="preserve">DATE   </w:t>
      </w:r>
      <w:r>
        <w:rPr>
          <w:rFonts w:ascii="Arial" w:cs="Arial" w:eastAsia="Arial" w:hAnsi="Arial"/>
          <w:color w:val="263E4F"/>
          <w:sz w:val="18"/>
          <w:szCs w:val="18"/>
        </w:rPr>
        <w:t xml:space="preserve">20 September 2026</w:t>
      </w:r>
    </w:p>
    <w:p>
      <w:pPr>
        <w:spacing w:after="60"/>
      </w:pPr>
      <w:r>
        <w:rPr>
          <w:rFonts w:ascii="Arial" w:cs="Arial" w:eastAsia="Arial" w:hAnsi="Arial"/>
          <w:b/>
          <w:bCs/>
          <w:color w:val="6B7780"/>
          <w:spacing w:val="24"/>
          <w:sz w:val="15"/>
          <w:szCs w:val="15"/>
        </w:rPr>
        <w:t xml:space="preserve">CLASSIFICATION   </w:t>
      </w:r>
      <w:r>
        <w:rPr>
          <w:rFonts w:ascii="Arial" w:cs="Arial" w:eastAsia="Arial" w:hAnsi="Arial"/>
          <w:color w:val="263E4F"/>
          <w:sz w:val="18"/>
          <w:szCs w:val="18"/>
        </w:rPr>
        <w:t xml:space="preserve">Confidential</w:t>
      </w:r>
    </w:p>
    <w:p>
      <w:r>
        <w:br w:type="page"/>
      </w:r>
    </w:p>
    <w:p>
      <w:pPr>
        <w:pBdr>
          <w:bottom w:val="single" w:color="1C9E63" w:sz="6" w:space="6"/>
        </w:pBdr>
        <w:spacing w:after="200" w:before="420"/>
      </w:pPr>
      <w:r>
        <w:rPr>
          <w:rFonts w:ascii="Arial" w:cs="Arial" w:eastAsia="Arial" w:hAnsi="Arial"/>
          <w:b/>
          <w:bCs/>
          <w:color w:val="263E4F"/>
          <w:sz w:val="26"/>
          <w:szCs w:val="26"/>
        </w:rPr>
        <w:t xml:space="preserve">The company</w:t>
      </w:r>
    </w:p>
    <w:p>
      <w:pPr>
        <w:spacing w:after="220" w:line="288"/>
      </w:pPr>
      <w:r>
        <w:rPr>
          <w:rFonts w:ascii="Georgia" w:cs="Georgia" w:eastAsia="Georgia" w:hAnsi="Georgia"/>
          <w:color w:val="263E4F"/>
          <w:sz w:val="24"/>
          <w:szCs w:val="24"/>
        </w:rPr>
        <w:t xml:space="preserve">MiliPay authenticates a person by the vein pattern in their palm and initiates a payment from their own bank account. No card, no phone, no stored value, and no custody of customer funds at any point.</w:t>
      </w:r>
    </w:p>
    <w:p>
      <w:pPr>
        <w:pBdr>
          <w:bottom w:val="single" w:color="1C9E63" w:sz="6" w:space="6"/>
        </w:pBdr>
        <w:spacing w:after="200" w:before="420"/>
      </w:pPr>
      <w:r>
        <w:rPr>
          <w:rFonts w:ascii="Arial" w:cs="Arial" w:eastAsia="Arial" w:hAnsi="Arial"/>
          <w:b/>
          <w:bCs/>
          <w:color w:val="263E4F"/>
          <w:sz w:val="26"/>
          <w:szCs w:val="26"/>
        </w:rPr>
        <w:t xml:space="preserve">The market</w:t>
      </w:r>
    </w:p>
    <w:p>
      <w:pPr>
        <w:spacing w:after="160" w:line="276"/>
        <w:jc w:val="both"/>
      </w:pPr>
      <w:r>
        <w:rPr>
          <w:rFonts w:ascii="Georgia" w:cs="Georgia" w:eastAsia="Georgia" w:hAnsi="Georgia"/>
          <w:color w:val="232B31"/>
          <w:sz w:val="21"/>
          <w:szCs w:val="21"/>
        </w:rPr>
        <w:t xml:space="preserve">Nigeria moved ₦1,053 trillion electronically in the first quarter of 2026. Against that, NIBSS data reported point-of-sale going backwards: volume down 19.90 percent year on year to 2.92 billion transactions from 3.64 billion, and value down 16.42 percent to ₦59.33 trillion from ₦70.98 trillion. Roughly 724 million fewer card-present transactions in a single quarter.</w:t>
      </w:r>
    </w:p>
    <w:p>
      <w:pPr>
        <w:spacing w:after="160" w:line="276"/>
        <w:jc w:val="both"/>
      </w:pPr>
      <w:r>
        <w:rPr>
          <w:rFonts w:ascii="Georgia" w:cs="Georgia" w:eastAsia="Georgia" w:hAnsi="Georgia"/>
          <w:color w:val="232B31"/>
          <w:sz w:val="21"/>
          <w:szCs w:val="21"/>
        </w:rPr>
        <w:t xml:space="preserve">The reading MiliPay takes from that is behavioural rather than macroeconomic. People are not spending less; they are abandoning the card at the till and sending bank transfers instead — a slower, clumsier method they have chosen because the card experience is worse. A declining channel that customers are actively working around is a better opportunity than a growing one they are content with.</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A data conflict that has to be resolved before this document is shown to anyone.  </w:t>
      </w:r>
      <w:r>
        <w:rPr>
          <w:rFonts w:ascii="Georgia" w:cs="Georgia" w:eastAsia="Georgia" w:hAnsi="Georgia"/>
          <w:i/>
          <w:iCs/>
          <w:color w:val="46525A"/>
          <w:sz w:val="19"/>
          <w:szCs w:val="19"/>
        </w:rPr>
        <w:t xml:space="preserve">Other published reporting for the same quarter states that PoS transactions reached ₦18.78 trillion, up 79.03 percent year on year from ₦10.49 trillion. That cannot be reconciled with ₦59.33 trillion down 16.42 percent as a measure of the same thing — the two are almost certainly counting different channels, most likely the full PoS channel versus an agent-banking subset. Until that is established from NIBSS primary data, the opening argument of this plan rests on a figure an investor could contradict with a search. Resolve it, cite the exact NIBSS release and table, and state which measure is being used.</w:t>
      </w:r>
    </w:p>
    <w:p>
      <w:pPr>
        <w:spacing w:after="160" w:line="276"/>
        <w:jc w:val="both"/>
      </w:pPr>
      <w:r>
        <w:rPr>
          <w:rFonts w:ascii="Georgia" w:cs="Georgia" w:eastAsia="Georgia" w:hAnsi="Georgia"/>
          <w:color w:val="232B31"/>
          <w:sz w:val="21"/>
          <w:szCs w:val="21"/>
        </w:rPr>
        <w:t xml:space="preserve">On fraud, the figure carried forward from the previous version is ₦25.85 billion in 2025, led by social engineering. That characterisation matters more than the number: social engineering works precisely because what is authenticated is a credential a person can be talked into surrendering. A vein pattern beneath the skin cannot be surrendered over the phone. This figure also needs re-sourcing to the primary NIBSS fraud report before external use.</w:t>
      </w:r>
    </w:p>
    <w:p>
      <w:pPr>
        <w:pBdr>
          <w:bottom w:val="single" w:color="1C9E63" w:sz="6" w:space="6"/>
        </w:pBdr>
        <w:spacing w:after="200" w:before="420"/>
      </w:pPr>
      <w:r>
        <w:rPr>
          <w:rFonts w:ascii="Arial" w:cs="Arial" w:eastAsia="Arial" w:hAnsi="Arial"/>
          <w:b/>
          <w:bCs/>
          <w:color w:val="263E4F"/>
          <w:sz w:val="26"/>
          <w:szCs w:val="26"/>
        </w:rPr>
        <w:t xml:space="preserve">The problem</w:t>
      </w:r>
    </w:p>
    <w:p>
      <w:pPr>
        <w:spacing w:after="160" w:line="276"/>
        <w:jc w:val="both"/>
      </w:pPr>
      <w:r>
        <w:rPr>
          <w:rFonts w:ascii="Georgia" w:cs="Georgia" w:eastAsia="Georgia" w:hAnsi="Georgia"/>
          <w:color w:val="232B31"/>
          <w:sz w:val="21"/>
          <w:szCs w:val="21"/>
        </w:rPr>
        <w:t xml:space="preserve">The card is the failure point. It is forgotten, lost, damaged, skimmed and declined. Every one of those failures happens at the front of a queue, in front of other customers, and the merchant absorbs the cost in abandoned baskets and time.</w:t>
      </w:r>
    </w:p>
    <w:p>
      <w:pPr>
        <w:spacing w:after="160" w:line="276"/>
        <w:jc w:val="both"/>
      </w:pPr>
      <w:r>
        <w:rPr>
          <w:rFonts w:ascii="Georgia" w:cs="Georgia" w:eastAsia="Georgia" w:hAnsi="Georgia"/>
          <w:color w:val="232B31"/>
          <w:sz w:val="21"/>
          <w:szCs w:val="21"/>
        </w:rPr>
        <w:t xml:space="preserve">Fingerprint-based alternatives fail a specific and large population: market traders, mechanics, cleaners, anyone whose hands work for a living. Worn ridges are not an edge case in Nigeria; they are a substantial share of the addressable market.</w:t>
      </w:r>
    </w:p>
    <w:p>
      <w:pPr>
        <w:pBdr>
          <w:bottom w:val="single" w:color="1C9E63" w:sz="6" w:space="6"/>
        </w:pBdr>
        <w:spacing w:after="200" w:before="420"/>
      </w:pPr>
      <w:r>
        <w:rPr>
          <w:rFonts w:ascii="Arial" w:cs="Arial" w:eastAsia="Arial" w:hAnsi="Arial"/>
          <w:b/>
          <w:bCs/>
          <w:color w:val="263E4F"/>
          <w:sz w:val="26"/>
          <w:szCs w:val="26"/>
        </w:rPr>
        <w:t xml:space="preserve">The product and why palm vein</w:t>
      </w:r>
    </w:p>
    <w:p>
      <w:pPr>
        <w:spacing w:after="160" w:line="276"/>
        <w:jc w:val="both"/>
      </w:pPr>
      <w:r>
        <w:rPr>
          <w:rFonts w:ascii="Georgia" w:cs="Georgia" w:eastAsia="Georgia" w:hAnsi="Georgia"/>
          <w:color w:val="232B31"/>
          <w:sz w:val="21"/>
          <w:szCs w:val="21"/>
        </w:rPr>
        <w:t xml:space="preserve">The vein pattern sits beneath the skin. It cannot be lifted from a glass, it does not wear away with manual work, and it is materially harder to spoof than a fingerprint or a face. Capture is simultaneous near-infrared and RGB with liveness detection that rejects photographs, screens and moulded hands.</w:t>
      </w:r>
    </w:p>
    <w:p>
      <w:pPr>
        <w:spacing w:after="160" w:line="276"/>
        <w:jc w:val="both"/>
      </w:pPr>
      <w:r>
        <w:rPr>
          <w:rFonts w:ascii="Georgia" w:cs="Georgia" w:eastAsia="Georgia" w:hAnsi="Georgia"/>
          <w:color w:val="232B31"/>
          <w:sz w:val="21"/>
          <w:szCs w:val="21"/>
        </w:rPr>
        <w:t xml:space="preserve">Palm vein was not a fallback after fingerprint failed. It was chosen as the stronger primitive. Fingerprint may be added later for hardware breadth, not as a substitute.</w:t>
      </w:r>
    </w:p>
    <w:p>
      <w:pPr>
        <w:spacing w:after="160" w:line="276"/>
        <w:jc w:val="both"/>
      </w:pPr>
      <w:r>
        <w:rPr>
          <w:rFonts w:ascii="Georgia" w:cs="Georgia" w:eastAsia="Georgia" w:hAnsi="Georgia"/>
          <w:color w:val="232B31"/>
          <w:sz w:val="21"/>
          <w:szCs w:val="21"/>
        </w:rPr>
        <w:t xml:space="preserve">PRD-001 carries the full specification. ENG-006 carries an honest account of what is not yet built — principally the matching service and the execution of the debit.</w:t>
      </w:r>
    </w:p>
    <w:p>
      <w:pPr>
        <w:pBdr>
          <w:bottom w:val="single" w:color="1C9E63" w:sz="6" w:space="6"/>
        </w:pBdr>
        <w:spacing w:after="200" w:before="420"/>
      </w:pPr>
      <w:r>
        <w:rPr>
          <w:rFonts w:ascii="Arial" w:cs="Arial" w:eastAsia="Arial" w:hAnsi="Arial"/>
          <w:b/>
          <w:bCs/>
          <w:color w:val="263E4F"/>
          <w:sz w:val="26"/>
          <w:szCs w:val="26"/>
        </w:rPr>
        <w:t xml:space="preserve">Business model</w:t>
      </w:r>
    </w:p>
    <w:p>
      <w:pPr>
        <w:spacing w:after="6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3000"/>
        <w:gridCol w:w="3600"/>
        <w:gridCol w:w="2470"/>
      </w:tblGrid>
      <w:tr>
        <w:trPr>
          <w:tblHeader/>
        </w:trPr>
        <w:tc>
          <w:tcPr>
            <w:tcW w:type="dxa" w:w="30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Revenue line</w:t>
            </w:r>
          </w:p>
        </w:tc>
        <w:tc>
          <w:tcPr>
            <w:tcW w:type="dxa" w:w="36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Rate</w:t>
            </w:r>
          </w:p>
        </w:tc>
        <w:tc>
          <w:tcPr>
            <w:tcW w:type="dxa" w:w="24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Status</w:t>
            </w:r>
          </w:p>
        </w:tc>
      </w:tr>
      <w:tr>
        <w:tc>
          <w:tcPr>
            <w:tcW w:type="dxa" w:w="30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Merchant transaction fee</w:t>
            </w:r>
          </w:p>
        </w:tc>
        <w:tc>
          <w:tcPr>
            <w:tcW w:type="dxa" w:w="36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1.5% of value, configurable per merchant</w:t>
            </w:r>
          </w:p>
        </w:tc>
        <w:tc>
          <w:tcPr>
            <w:tcW w:type="dxa" w:w="2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Calculated, not yet collected</w:t>
            </w:r>
          </w:p>
        </w:tc>
      </w:tr>
      <w:tr>
        <w:tc>
          <w:tcPr>
            <w:tcW w:type="dxa" w:w="30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Data bundle margin</w:t>
            </w:r>
          </w:p>
        </w:tc>
        <w:tc>
          <w:tcPr>
            <w:tcW w:type="dxa" w:w="36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₦25 per purchase</w:t>
            </w:r>
          </w:p>
        </w:tc>
        <w:tc>
          <w:tcPr>
            <w:tcW w:type="dxa" w:w="2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Live</w:t>
            </w:r>
          </w:p>
        </w:tc>
      </w:tr>
      <w:tr>
        <w:tc>
          <w:tcPr>
            <w:tcW w:type="dxa" w:w="30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Cable TV margin</w:t>
            </w:r>
          </w:p>
        </w:tc>
        <w:tc>
          <w:tcPr>
            <w:tcW w:type="dxa" w:w="36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₦30 per subscription</w:t>
            </w:r>
          </w:p>
        </w:tc>
        <w:tc>
          <w:tcPr>
            <w:tcW w:type="dxa" w:w="2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Live</w:t>
            </w:r>
          </w:p>
        </w:tc>
      </w:tr>
      <w:tr>
        <w:tc>
          <w:tcPr>
            <w:tcW w:type="dxa" w:w="30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Airtime margin</w:t>
            </w:r>
          </w:p>
        </w:tc>
        <w:tc>
          <w:tcPr>
            <w:tcW w:type="dxa" w:w="36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Configurable, currently 0%</w:t>
            </w:r>
          </w:p>
        </w:tc>
        <w:tc>
          <w:tcPr>
            <w:tcW w:type="dxa" w:w="2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Live</w:t>
            </w:r>
          </w:p>
        </w:tc>
      </w:tr>
      <w:tr>
        <w:tc>
          <w:tcPr>
            <w:tcW w:type="dxa" w:w="30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Electricity convenience fee</w:t>
            </w:r>
          </w:p>
        </w:tc>
        <w:tc>
          <w:tcPr>
            <w:tcW w:type="dxa" w:w="36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Configurable, currently ₦0</w:t>
            </w:r>
          </w:p>
        </w:tc>
        <w:tc>
          <w:tcPr>
            <w:tcW w:type="dxa" w:w="2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Live</w:t>
            </w:r>
          </w:p>
        </w:tc>
      </w:tr>
      <w:tr>
        <w:tc>
          <w:tcPr>
            <w:tcW w:type="dxa" w:w="30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Customer subscription</w:t>
            </w:r>
          </w:p>
        </w:tc>
        <w:tc>
          <w:tcPr>
            <w:tcW w:type="dxa" w:w="36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₦250 per month</w:t>
            </w:r>
          </w:p>
        </w:tc>
        <w:tc>
          <w:tcPr>
            <w:tcW w:type="dxa" w:w="2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Undecided</w:t>
            </w:r>
          </w:p>
        </w:tc>
      </w:tr>
    </w:tbl>
    <w:p>
      <w:pPr>
        <w:spacing w:after="200"/>
      </w:pPr>
    </w:p>
    <w:p>
      <w:pPr>
        <w:spacing w:after="160" w:line="276"/>
        <w:jc w:val="both"/>
      </w:pPr>
      <w:r>
        <w:rPr>
          <w:rFonts w:ascii="Georgia" w:cs="Georgia" w:eastAsia="Georgia" w:hAnsi="Georgia"/>
          <w:color w:val="232B31"/>
          <w:sz w:val="21"/>
          <w:szCs w:val="21"/>
        </w:rPr>
        <w:t xml:space="preserve">The merchant rate is configurable per merchant, so a chain can be onboarded at a negotiated rate without a code change. MiliPay does not compete on price. The proposition is fewer failed transactions and a faster queue, which is why the first merchant categories are those where a decline at the front of a queue has a visible cost: supermarkets, pharmacies, fuel, and quick-service dining.</w:t>
      </w:r>
    </w:p>
    <w:p>
      <w:pPr>
        <w:spacing w:after="160" w:line="276"/>
        <w:jc w:val="both"/>
      </w:pPr>
      <w:r>
        <w:rPr>
          <w:rFonts w:ascii="Georgia" w:cs="Georgia" w:eastAsia="Georgia" w:hAnsi="Georgia"/>
          <w:color w:val="232B31"/>
          <w:sz w:val="21"/>
          <w:szCs w:val="21"/>
        </w:rPr>
        <w:t xml:space="preserve">The value-added services business is not a distraction from the payment business. It produces real transaction economics to measure before the biometric engine ships, gives a newly enrolled customer a reason to open the app between shop visits, and proves to a prospective bank partner that the company can move value end to end and handle a failure correctly.</w:t>
      </w:r>
    </w:p>
    <w:p>
      <w:pPr>
        <w:pBdr>
          <w:bottom w:val="single" w:color="1C9E63" w:sz="6" w:space="6"/>
        </w:pBdr>
        <w:spacing w:after="200" w:before="420"/>
      </w:pPr>
      <w:r>
        <w:rPr>
          <w:rFonts w:ascii="Arial" w:cs="Arial" w:eastAsia="Arial" w:hAnsi="Arial"/>
          <w:b/>
          <w:bCs/>
          <w:color w:val="263E4F"/>
          <w:sz w:val="26"/>
          <w:szCs w:val="26"/>
        </w:rPr>
        <w:t xml:space="preserve">Why non-custodial matters commercially</w:t>
      </w:r>
    </w:p>
    <w:p>
      <w:pPr>
        <w:spacing w:after="160" w:line="276"/>
        <w:jc w:val="both"/>
      </w:pPr>
      <w:r>
        <w:rPr>
          <w:rFonts w:ascii="Georgia" w:cs="Georgia" w:eastAsia="Georgia" w:hAnsi="Georgia"/>
          <w:color w:val="232B31"/>
          <w:sz w:val="21"/>
          <w:szCs w:val="21"/>
        </w:rPr>
        <w:t xml:space="preserve">MiliPay never holds customer money. That is a product decision with three commercial consequences. Banks are partners rather than competitors, because the model routes payment initiation to them instead of disintermediating them. The regulatory conversation is about authentication and payment initiation rather than deposit-taking, which is a materially lighter licensing burden. And the balance sheet carries no float, so the company is not financing settlement out of its own capital.</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This position is reasoned, not confirmed.  </w:t>
      </w:r>
      <w:r>
        <w:rPr>
          <w:rFonts w:ascii="Georgia" w:cs="Georgia" w:eastAsia="Georgia" w:hAnsi="Georgia"/>
          <w:i/>
          <w:iCs/>
          <w:color w:val="46525A"/>
          <w:sz w:val="19"/>
          <w:szCs w:val="19"/>
        </w:rPr>
        <w:t xml:space="preserve">It needs to be put to the Central Bank of Nigeria in writing and confirmed. Obtaining preliminary regulatory guidance is a stated milestone, not a completed one. Being told the classification early is far cheaper than discovering it late.</w:t>
      </w:r>
    </w:p>
    <w:p>
      <w:pPr>
        <w:pBdr>
          <w:bottom w:val="single" w:color="1C9E63" w:sz="6" w:space="6"/>
        </w:pBdr>
        <w:spacing w:after="200" w:before="420"/>
      </w:pPr>
      <w:r>
        <w:rPr>
          <w:rFonts w:ascii="Arial" w:cs="Arial" w:eastAsia="Arial" w:hAnsi="Arial"/>
          <w:b/>
          <w:bCs/>
          <w:color w:val="263E4F"/>
          <w:sz w:val="26"/>
          <w:szCs w:val="26"/>
        </w:rPr>
        <w:t xml:space="preserve">Go to market</w:t>
      </w:r>
    </w:p>
    <w:p>
      <w:pPr>
        <w:spacing w:after="160" w:line="276"/>
        <w:jc w:val="both"/>
      </w:pPr>
      <w:r>
        <w:rPr>
          <w:rFonts w:ascii="Georgia" w:cs="Georgia" w:eastAsia="Georgia" w:hAnsi="Georgia"/>
          <w:color w:val="232B31"/>
          <w:sz w:val="21"/>
          <w:szCs w:val="21"/>
        </w:rPr>
        <w:t xml:space="preserve">Phase one is a single dense cluster, not a city. The binding constraint on adoption is not desire but density: a customer who can pay by palm at one shop in twenty will not change habit. Concentrating every terminal and every enrolment into one area where people shop repeatedly is the only way to test whether the behaviour actually forms.</w:t>
      </w:r>
    </w:p>
    <w:p>
      <w:pPr>
        <w:spacing w:after="160" w:line="276"/>
        <w:jc w:val="both"/>
      </w:pPr>
      <w:r>
        <w:rPr>
          <w:rFonts w:ascii="Georgia" w:cs="Georgia" w:eastAsia="Georgia" w:hAnsi="Georgia"/>
          <w:color w:val="232B31"/>
          <w:sz w:val="21"/>
          <w:szCs w:val="21"/>
        </w:rPr>
        <w:t xml:space="preserve">Enrolment is in person by field agent, which is expensive and deliberate. It is also the only way to capture a biometric responsibly and to verify identity at the same time.</w:t>
      </w:r>
    </w:p>
    <w:p>
      <w:pPr>
        <w:spacing w:after="160" w:line="276"/>
        <w:jc w:val="both"/>
      </w:pPr>
      <w:r>
        <w:rPr>
          <w:rFonts w:ascii="Georgia" w:cs="Georgia" w:eastAsia="Georgia" w:hAnsi="Georgia"/>
          <w:color w:val="232B31"/>
          <w:sz w:val="21"/>
          <w:szCs w:val="21"/>
        </w:rPr>
        <w:t xml:space="preserve">The pilot exists to produce three numbers and is instrumented for nothing else.</w:t>
      </w:r>
    </w:p>
    <w:p>
      <w:pPr>
        <w:pBdr>
          <w:bottom w:val="single" w:color="1C9E63" w:sz="6" w:space="6"/>
        </w:pBdr>
        <w:spacing w:after="200" w:before="420"/>
      </w:pPr>
      <w:r>
        <w:rPr>
          <w:rFonts w:ascii="Arial" w:cs="Arial" w:eastAsia="Arial" w:hAnsi="Arial"/>
          <w:b/>
          <w:bCs/>
          <w:color w:val="263E4F"/>
          <w:sz w:val="26"/>
          <w:szCs w:val="26"/>
        </w:rPr>
        <w:t xml:space="preserve">The three numbers</w:t>
      </w:r>
    </w:p>
    <w:p>
      <w:pPr>
        <w:spacing w:after="6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2700"/>
        <w:gridCol w:w="6370"/>
      </w:tblGrid>
      <w:tr>
        <w:trPr>
          <w:tblHeader/>
        </w:trPr>
        <w:tc>
          <w:tcPr>
            <w:tcW w:type="dxa" w:w="27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Number</w:t>
            </w:r>
          </w:p>
        </w:tc>
        <w:tc>
          <w:tcPr>
            <w:tcW w:type="dxa" w:w="63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Why it decides the business</w:t>
            </w:r>
          </w:p>
        </w:tc>
      </w:tr>
      <w:tr>
        <w:tc>
          <w:tcPr>
            <w:tcW w:type="dxa" w:w="27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Terminal payback period</w:t>
            </w:r>
          </w:p>
        </w:tc>
        <w:tc>
          <w:tcPr>
            <w:tcW w:type="dxa" w:w="63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Hardware is the largest capital line. If a terminal does not pay for itself within an acceptable period, the rollout model has to change before it scales, not after</w:t>
            </w:r>
          </w:p>
        </w:tc>
      </w:tr>
      <w:tr>
        <w:tc>
          <w:tcPr>
            <w:tcW w:type="dxa" w:w="27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Active customers per merchant</w:t>
            </w:r>
          </w:p>
        </w:tc>
        <w:tc>
          <w:tcPr>
            <w:tcW w:type="dxa" w:w="63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The density measure. Below a threshold the proposition fails for the merchant regardless of how good the technology is</w:t>
            </w:r>
          </w:p>
        </w:tc>
      </w:tr>
      <w:tr>
        <w:tc>
          <w:tcPr>
            <w:tcW w:type="dxa" w:w="27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Enrolment cost per customer</w:t>
            </w:r>
          </w:p>
        </w:tc>
        <w:tc>
          <w:tcPr>
            <w:tcW w:type="dxa" w:w="63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In-person enrolment is the largest operating line. It sets the ceiling on how fast the company can grow per naira raised</w:t>
            </w:r>
          </w:p>
        </w:tc>
      </w:tr>
    </w:tbl>
    <w:p>
      <w:pPr>
        <w:spacing w:after="200"/>
      </w:pPr>
    </w:p>
    <w:p>
      <w:pPr>
        <w:spacing w:after="160" w:line="276"/>
        <w:jc w:val="both"/>
      </w:pPr>
      <w:r>
        <w:rPr>
          <w:rFonts w:ascii="Georgia" w:cs="Georgia" w:eastAsia="Georgia" w:hAnsi="Georgia"/>
          <w:color w:val="232B31"/>
          <w:sz w:val="21"/>
          <w:szCs w:val="21"/>
        </w:rPr>
        <w:t xml:space="preserve">Everything else is second order. First-attempt match rate from real hardware in a real shop is the fourth number and the first one to publish once the matcher exists — the vendor’s 450ms figure is a specification, not a result.</w:t>
      </w:r>
    </w:p>
    <w:p>
      <w:pPr>
        <w:pBdr>
          <w:bottom w:val="single" w:color="1C9E63" w:sz="6" w:space="6"/>
        </w:pBdr>
        <w:spacing w:after="200" w:before="420"/>
      </w:pPr>
      <w:r>
        <w:rPr>
          <w:rFonts w:ascii="Arial" w:cs="Arial" w:eastAsia="Arial" w:hAnsi="Arial"/>
          <w:b/>
          <w:bCs/>
          <w:color w:val="263E4F"/>
          <w:sz w:val="26"/>
          <w:szCs w:val="26"/>
        </w:rPr>
        <w:t xml:space="preserve">Competition and defensibility</w:t>
      </w:r>
    </w:p>
    <w:p>
      <w:pPr>
        <w:spacing w:after="160" w:line="276"/>
        <w:jc w:val="both"/>
      </w:pPr>
      <w:r>
        <w:rPr>
          <w:rFonts w:ascii="Georgia" w:cs="Georgia" w:eastAsia="Georgia" w:hAnsi="Georgia"/>
          <w:color w:val="232B31"/>
          <w:sz w:val="21"/>
          <w:szCs w:val="21"/>
        </w:rPr>
        <w:t xml:space="preserve">The moat is not the algorithm. It is enrolled templates, deployed certified hardware and agent network coverage — each of which compounds, and none of which transfers to a competitor. Added to that is the regulatory position: a non-custodial model banks can partner with rather than resist.</w:t>
      </w:r>
    </w:p>
    <w:p>
      <w:pPr>
        <w:spacing w:after="160" w:line="276"/>
        <w:jc w:val="both"/>
      </w:pPr>
      <w:r>
        <w:rPr>
          <w:rFonts w:ascii="Georgia" w:cs="Georgia" w:eastAsia="Georgia" w:hAnsi="Georgia"/>
          <w:color w:val="232B31"/>
          <w:sz w:val="21"/>
          <w:szCs w:val="21"/>
        </w:rPr>
        <w:t xml:space="preserve">MiliPay does not claim first-mover status in Nigerian biometric point-of-sale. That claim would require fresh competitive research which has not been done, and asserting it and being corrected costs more than declining to assert it.</w:t>
      </w:r>
    </w:p>
    <w:p>
      <w:pPr>
        <w:pBdr>
          <w:bottom w:val="single" w:color="1C9E63" w:sz="6" w:space="6"/>
        </w:pBdr>
        <w:spacing w:after="200" w:before="420"/>
      </w:pPr>
      <w:r>
        <w:rPr>
          <w:rFonts w:ascii="Arial" w:cs="Arial" w:eastAsia="Arial" w:hAnsi="Arial"/>
          <w:b/>
          <w:bCs/>
          <w:color w:val="263E4F"/>
          <w:sz w:val="26"/>
          <w:szCs w:val="26"/>
        </w:rPr>
        <w:t xml:space="preserve">Team and gaps</w:t>
      </w:r>
    </w:p>
    <w:p>
      <w:pPr>
        <w:spacing w:after="160" w:line="276"/>
        <w:jc w:val="both"/>
      </w:pPr>
      <w:r>
        <w:rPr>
          <w:rFonts w:ascii="Georgia" w:cs="Georgia" w:eastAsia="Georgia" w:hAnsi="Georgia"/>
          <w:color w:val="232B31"/>
          <w:sz w:val="21"/>
          <w:szCs w:val="21"/>
        </w:rPr>
        <w:t xml:space="preserve">Four people have built four production web portals, a mobile app, twenty-two database migrations, nine backend functions, a live Open Banking integration and a working bill-payment business, in months.</w:t>
      </w:r>
    </w:p>
    <w:p>
      <w:pPr>
        <w:spacing w:after="160" w:line="276"/>
        <w:jc w:val="both"/>
      </w:pPr>
      <w:r>
        <w:rPr>
          <w:rFonts w:ascii="Georgia" w:cs="Georgia" w:eastAsia="Georgia" w:hAnsi="Georgia"/>
          <w:color w:val="232B31"/>
          <w:sz w:val="21"/>
          <w:szCs w:val="21"/>
        </w:rPr>
        <w:t xml:space="preserve">Two gaps are material and both are in the use of funds. Compliance and legal is the most urgent for a company handling biometric data and payment instructions, and is currently sourced through external engagements rather than in-house. Specialist C++ and biometric SDK engineering is the second, and it sits directly on the critical path.</w:t>
      </w:r>
    </w:p>
    <w:p>
      <w:pPr>
        <w:pBdr>
          <w:bottom w:val="single" w:color="1C9E63" w:sz="6" w:space="6"/>
        </w:pBdr>
        <w:spacing w:after="200" w:before="420"/>
      </w:pPr>
      <w:r>
        <w:rPr>
          <w:rFonts w:ascii="Arial" w:cs="Arial" w:eastAsia="Arial" w:hAnsi="Arial"/>
          <w:b/>
          <w:bCs/>
          <w:color w:val="263E4F"/>
          <w:sz w:val="26"/>
          <w:szCs w:val="26"/>
        </w:rPr>
        <w:t xml:space="preserve">Use of funds</w:t>
      </w:r>
    </w:p>
    <w:p>
      <w:pPr>
        <w:spacing w:after="160" w:line="276"/>
        <w:jc w:val="both"/>
      </w:pPr>
      <w:r>
        <w:rPr>
          <w:rFonts w:ascii="Georgia" w:cs="Georgia" w:eastAsia="Georgia" w:hAnsi="Georgia"/>
          <w:color w:val="232B31"/>
          <w:sz w:val="21"/>
          <w:szCs w:val="21"/>
        </w:rPr>
        <w:t xml:space="preserve">Pre-seed. Three things, in this order of dependency:</w:t>
      </w:r>
    </w:p>
    <w:p>
      <w:pPr>
        <w:spacing w:after="150" w:line="276"/>
        <w:ind w:left="567" w:hanging="567"/>
        <w:jc w:val="both"/>
      </w:pPr>
      <w:r>
        <w:rPr>
          <w:rFonts w:ascii="Arial" w:cs="Arial" w:eastAsia="Arial" w:hAnsi="Arial"/>
          <w:b/>
          <w:bCs/>
          <w:color w:val="263E4F"/>
          <w:sz w:val="20"/>
          <w:szCs w:val="20"/>
        </w:rPr>
        <w:t xml:space="preserve">1	</w:t>
      </w:r>
      <w:r>
        <w:rPr>
          <w:rFonts w:ascii="Georgia" w:cs="Georgia" w:eastAsia="Georgia" w:hAnsi="Georgia"/>
          <w:color w:val="232B31"/>
          <w:sz w:val="21"/>
          <w:szCs w:val="21"/>
        </w:rPr>
        <w:t xml:space="preserve">Complete the palm matching service and publish a measured first-attempt match rate from real hardware.</w:t>
      </w:r>
    </w:p>
    <w:p>
      <w:pPr>
        <w:spacing w:after="150" w:line="276"/>
        <w:ind w:left="567" w:hanging="567"/>
        <w:jc w:val="both"/>
      </w:pPr>
      <w:r>
        <w:rPr>
          <w:rFonts w:ascii="Arial" w:cs="Arial" w:eastAsia="Arial" w:hAnsi="Arial"/>
          <w:b/>
          <w:bCs/>
          <w:color w:val="263E4F"/>
          <w:sz w:val="20"/>
          <w:szCs w:val="20"/>
        </w:rPr>
        <w:t xml:space="preserve">2	</w:t>
      </w:r>
      <w:r>
        <w:rPr>
          <w:rFonts w:ascii="Georgia" w:cs="Georgia" w:eastAsia="Georgia" w:hAnsi="Georgia"/>
          <w:color w:val="232B31"/>
          <w:sz w:val="21"/>
          <w:szCs w:val="21"/>
        </w:rPr>
        <w:t xml:space="preserve">Close the settlement rail with a bank or licensed switch, and execute the debit.</w:t>
      </w:r>
    </w:p>
    <w:p>
      <w:pPr>
        <w:spacing w:after="150" w:line="276"/>
        <w:ind w:left="567" w:hanging="567"/>
        <w:jc w:val="both"/>
      </w:pPr>
      <w:r>
        <w:rPr>
          <w:rFonts w:ascii="Arial" w:cs="Arial" w:eastAsia="Arial" w:hAnsi="Arial"/>
          <w:b/>
          <w:bCs/>
          <w:color w:val="263E4F"/>
          <w:sz w:val="20"/>
          <w:szCs w:val="20"/>
        </w:rPr>
        <w:t xml:space="preserve">3	</w:t>
      </w:r>
      <w:r>
        <w:rPr>
          <w:rFonts w:ascii="Georgia" w:cs="Georgia" w:eastAsia="Georgia" w:hAnsi="Georgia"/>
          <w:color w:val="232B31"/>
          <w:sz w:val="21"/>
          <w:szCs w:val="21"/>
        </w:rPr>
        <w:t xml:space="preserve">Run a single-cluster pilot instrumented to produce the three numbers, gated on an independent security review closing with no critical findings.</w:t>
      </w:r>
    </w:p>
    <w:p>
      <w:pPr>
        <w:pBdr>
          <w:bottom w:val="single" w:color="1C9E63" w:sz="6" w:space="6"/>
        </w:pBdr>
        <w:spacing w:after="200" w:before="420"/>
      </w:pPr>
      <w:r>
        <w:rPr>
          <w:rFonts w:ascii="Arial" w:cs="Arial" w:eastAsia="Arial" w:hAnsi="Arial"/>
          <w:b/>
          <w:bCs/>
          <w:color w:val="263E4F"/>
          <w:sz w:val="26"/>
          <w:szCs w:val="26"/>
        </w:rPr>
        <w:t xml:space="preserve">Risks</w:t>
      </w:r>
    </w:p>
    <w:p>
      <w:pPr>
        <w:spacing w:after="6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2100"/>
        <w:gridCol w:w="3500"/>
        <w:gridCol w:w="3470"/>
      </w:tblGrid>
      <w:tr>
        <w:trPr>
          <w:tblHeader/>
        </w:trPr>
        <w:tc>
          <w:tcPr>
            <w:tcW w:type="dxa" w:w="21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Risk</w:t>
            </w:r>
          </w:p>
        </w:tc>
        <w:tc>
          <w:tcPr>
            <w:tcW w:type="dxa" w:w="35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Why it is credible</w:t>
            </w:r>
          </w:p>
        </w:tc>
        <w:tc>
          <w:tcPr>
            <w:tcW w:type="dxa" w:w="34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What reduces it</w:t>
            </w:r>
          </w:p>
        </w:tc>
      </w:tr>
      <w:tr>
        <w:tc>
          <w:tcPr>
            <w:tcW w:type="dxa" w:w="21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Match rate is too low in the field</w:t>
            </w:r>
          </w:p>
        </w:tc>
        <w:tc>
          <w:tcPr>
            <w:tcW w:type="dxa" w:w="35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No measured figure exists yet; vendor specs are laboratory conditions</w:t>
            </w:r>
          </w:p>
        </w:tc>
        <w:tc>
          <w:tcPr>
            <w:tcW w:type="dxa" w:w="3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Measure early on real hardware, in a real shop, before scaling</w:t>
            </w:r>
          </w:p>
        </w:tc>
      </w:tr>
      <w:tr>
        <w:tc>
          <w:tcPr>
            <w:tcW w:type="dxa" w:w="21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Terminal capital cost sinks the model</w:t>
            </w:r>
          </w:p>
        </w:tc>
        <w:tc>
          <w:tcPr>
            <w:tcW w:type="dxa" w:w="35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Hardware-dependent rollouts are where this class of company usually dies</w:t>
            </w:r>
          </w:p>
        </w:tc>
        <w:tc>
          <w:tcPr>
            <w:tcW w:type="dxa" w:w="3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Pilot measures payback before committing to fleet purchase</w:t>
            </w:r>
          </w:p>
        </w:tc>
      </w:tr>
      <w:tr>
        <w:tc>
          <w:tcPr>
            <w:tcW w:type="dxa" w:w="21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Regulatory classification is heavier than assumed</w:t>
            </w:r>
          </w:p>
        </w:tc>
        <w:tc>
          <w:tcPr>
            <w:tcW w:type="dxa" w:w="35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The non-custodial argument is reasoned but unconfirmed</w:t>
            </w:r>
          </w:p>
        </w:tc>
        <w:tc>
          <w:tcPr>
            <w:tcW w:type="dxa" w:w="3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Seek written CBN guidance before the pilot, not after</w:t>
            </w:r>
          </w:p>
        </w:tc>
      </w:tr>
      <w:tr>
        <w:tc>
          <w:tcPr>
            <w:tcW w:type="dxa" w:w="21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 biometric data incident</w:t>
            </w:r>
          </w:p>
        </w:tc>
        <w:tc>
          <w:tcPr>
            <w:tcW w:type="dxa" w:w="35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Templates are not encrypted above the database and there is no audit log</w:t>
            </w:r>
          </w:p>
        </w:tc>
        <w:tc>
          <w:tcPr>
            <w:tcW w:type="dxa" w:w="3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Close ENG-006 TD-15 and TD-18 before any real enrolment</w:t>
            </w:r>
          </w:p>
        </w:tc>
      </w:tr>
      <w:tr>
        <w:tc>
          <w:tcPr>
            <w:tcW w:type="dxa" w:w="21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Density never forms</w:t>
            </w:r>
          </w:p>
        </w:tc>
        <w:tc>
          <w:tcPr>
            <w:tcW w:type="dxa" w:w="35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A palm accepted at one shop in twenty changes no behaviour</w:t>
            </w:r>
          </w:p>
        </w:tc>
        <w:tc>
          <w:tcPr>
            <w:tcW w:type="dxa" w:w="3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Single dense cluster; refuse to spread thin</w:t>
            </w:r>
          </w:p>
        </w:tc>
      </w:tr>
      <w:tr>
        <w:tc>
          <w:tcPr>
            <w:tcW w:type="dxa" w:w="21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Agent-side enrolment fraud</w:t>
            </w:r>
          </w:p>
        </w:tc>
        <w:tc>
          <w:tcPr>
            <w:tcW w:type="dxa" w:w="35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NIN is recorded, not verified against NIMC</w:t>
            </w:r>
          </w:p>
        </w:tc>
        <w:tc>
          <w:tcPr>
            <w:tcW w:type="dxa" w:w="3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NIMC verification, agent vetting standard, administrator approval already in place</w:t>
            </w:r>
          </w:p>
        </w:tc>
      </w:tr>
    </w:tbl>
    <w:p>
      <w:pPr>
        <w:pBdr>
          <w:bottom w:val="single" w:color="1C9E63" w:sz="6" w:space="6"/>
        </w:pBdr>
        <w:spacing w:after="200" w:before="420"/>
      </w:pPr>
      <w:r>
        <w:rPr>
          <w:rFonts w:ascii="Arial" w:cs="Arial" w:eastAsia="Arial" w:hAnsi="Arial"/>
          <w:b/>
          <w:bCs/>
          <w:color w:val="263E4F"/>
          <w:sz w:val="26"/>
          <w:szCs w:val="26"/>
        </w:rPr>
        <w:t xml:space="preserve">What we would want from an investor beyond capital</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An introduction to a licensed Nigerian bank or payment switch — the single highest-leverage thing anyone could do for this company right now.</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A view on the terminal capital expenditure question from someone who has seen hardware-dependent rollouts before.</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Help hiring a compliance lead who has been through a Central Bank of Nigeria conversation.</w:t>
      </w:r>
    </w:p>
    <w:p>
      <w:pPr>
        <w:pBdr>
          <w:bottom w:val="single" w:color="1C9E63" w:sz="6" w:space="6"/>
        </w:pBdr>
        <w:spacing w:after="200" w:before="420"/>
      </w:pPr>
      <w:r>
        <w:rPr>
          <w:rFonts w:ascii="Arial" w:cs="Arial" w:eastAsia="Arial" w:hAnsi="Arial"/>
          <w:b/>
          <w:bCs/>
          <w:color w:val="263E4F"/>
          <w:sz w:val="26"/>
          <w:szCs w:val="26"/>
        </w:rPr>
        <w:t xml:space="preserve">Data integrity note</w:t>
      </w:r>
    </w:p>
    <w:p>
      <w:pPr>
        <w:spacing w:after="160" w:line="276"/>
        <w:jc w:val="both"/>
      </w:pPr>
      <w:r>
        <w:rPr>
          <w:rFonts w:ascii="Georgia" w:cs="Georgia" w:eastAsia="Georgia" w:hAnsi="Georgia"/>
          <w:color w:val="232B31"/>
          <w:sz w:val="21"/>
          <w:szCs w:val="21"/>
        </w:rPr>
        <w:t xml:space="preserve">Every market figure in this document is secondary. Before this plan goes to any external party, each should be traced to the primary NIBSS release, the release and table cited in place, and the PoS discrepancy described above resolved. A plan whose opening statistic can be contradicted by a search does more damage than one with fewer numbers in it.</w:t>
      </w:r>
    </w:p>
    <w:p>
      <w:pPr>
        <w:pBdr>
          <w:bottom w:val="single" w:color="D8DDE1" w:sz="4" w:space="4"/>
        </w:pBdr>
        <w:spacing w:after="200" w:before="200"/>
      </w:pPr>
    </w:p>
    <w:p>
      <w:pPr>
        <w:spacing w:before="120"/>
      </w:pPr>
      <w:r>
        <w:rPr>
          <w:rFonts w:ascii="Georgia" w:cs="Georgia" w:eastAsia="Georgia" w:hAnsi="Georgia"/>
          <w:i/>
          <w:iCs/>
          <w:color w:val="6B7780"/>
          <w:sz w:val="17"/>
          <w:szCs w:val="17"/>
        </w:rPr>
        <w:t xml:space="preserve">Prepared as part of the MiliPay documentation programme, 20 September 2026. Market figures are drawn from secondary reporting of NIBSS data for Q1 2026 and require primary verification before external circulation.</w:t>
      </w:r>
    </w:p>
    <w:sectPr>
      <w:headerReference w:type="default" r:id="rId7"/>
      <w:headerReference w:type="first" r:id="rId8"/>
      <w:footerReference w:type="default" r:id="rId9"/>
      <w:footerReference w:type="first" r:id="rId10"/>
      <w:pgSz w:w="11906" w:h="16838" w:orient="portrait"/>
      <w:pgMar w:top="1985" w:right="1418" w:bottom="1418" w:left="1418" w:header="680"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1" w:sz="4" w:space="8"/>
      </w:pBdr>
      <w:spacing w:before="60"/>
    </w:pPr>
    <w:r>
      <w:rPr>
        <w:rFonts w:ascii="Arial" w:cs="Arial" w:eastAsia="Arial" w:hAnsi="Arial"/>
        <w:color w:val="6B7780"/>
        <w:sz w:val="15"/>
        <w:szCs w:val="15"/>
      </w:rPr>
      <w:t xml:space="preserve">MiliPay — Confidential</w:t>
    </w:r>
    <w:r>
      <w:rPr>
        <w:rFonts w:ascii="Arial" w:cs="Arial" w:eastAsia="Arial" w:hAnsi="Arial"/>
        <w:color w:val="6B7780"/>
        <w:sz w:val="15"/>
        <w:szCs w:val="15"/>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1" w:sz="4" w:space="8"/>
      </w:pBdr>
      <w:spacing w:after="80"/>
    </w:pPr>
    <w:r>
      <w:drawing>
        <wp:inline distT="0" distB="0" distL="0" distR="0">
          <wp:extent cx="13716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71600" cy="314325"/>
                  </a:xfrm>
                  <a:prstGeom prst="rect">
                    <a:avLst/>
                  </a:prstGeom>
                </pic:spPr>
              </pic:pic>
            </a:graphicData>
          </a:graphic>
        </wp:inline>
      </w:drawing>
    </w:r>
    <w:r>
      <w:drawing>
        <wp:anchor distT="0" distB="0" distL="0" distR="0" simplePos="0" allowOverlap="1" behindDoc="1" locked="0" layoutInCell="1" relativeHeight="1190625">
          <wp:simplePos x="0" y="0"/>
          <wp:positionH relativeFrom="page">
            <wp:align>center</wp:align>
          </wp:positionH>
          <wp:positionV relativeFrom="page">
            <wp:align>center</wp:align>
          </wp:positionV>
          <wp:extent cx="5219700" cy="11906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219700" cy="11906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3e0989ba344b83a3cd5ada373155c6ac4430dc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3e0989ba344b83a3cd5ada373155c6ac4430dcd.png"/><Relationship Id="rId1" Type="http://schemas.openxmlformats.org/officeDocument/2006/relationships/image" Target="media/bf5121a7b7116315fc971d9aae4a8f9d37f8e4b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MiliPay — Business Plan</dc:title>
  <dc:creator>MiliPay</dc:creator>
  <dc:description>BUS-001 · Version 2.0 · Confidential</dc:description>
  <cp:lastModifiedBy>Un-named</cp:lastModifiedBy>
  <cp:revision>1</cp:revision>
  <dcterms:created xsi:type="dcterms:W3CDTF">2026-09-20T12:06:30.389Z</dcterms:created>
  <dcterms:modified xsi:type="dcterms:W3CDTF">2026-09-20T12:06:30.390Z</dcterms:modified>
</cp:coreProperties>
</file>

<file path=docProps/custom.xml><?xml version="1.0" encoding="utf-8"?>
<Properties xmlns="http://schemas.openxmlformats.org/officeDocument/2006/custom-properties" xmlns:vt="http://schemas.openxmlformats.org/officeDocument/2006/docPropsVTypes"/>
</file>