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900"/>
      </w:pPr>
      <w:r>
        <w:drawing>
          <wp:inline distT="0" distB="0" distL="0" distR="0">
            <wp:extent cx="22288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28850" cy="504825"/>
                    </a:xfrm>
                    <a:prstGeom prst="rect">
                      <a:avLst/>
                    </a:prstGeom>
                  </pic:spPr>
                </pic:pic>
              </a:graphicData>
            </a:graphic>
          </wp:inline>
        </w:drawing>
      </w:r>
    </w:p>
    <w:p>
      <w:pPr>
        <w:spacing w:after="140" w:line="400"/>
      </w:pPr>
      <w:r>
        <w:rPr>
          <w:rFonts w:ascii="Arial" w:cs="Arial" w:eastAsia="Arial" w:hAnsi="Arial"/>
          <w:b/>
          <w:bCs/>
          <w:color w:val="263E4F"/>
          <w:sz w:val="52"/>
          <w:szCs w:val="52"/>
        </w:rPr>
        <w:t xml:space="preserve">Investor Brief</w:t>
      </w:r>
      <w:r>
        <w:rPr>
          <w:rFonts w:ascii="Arial" w:cs="Arial" w:eastAsia="Arial" w:hAnsi="Arial"/>
          <w:b/>
          <w:bCs/>
          <w:color w:val="263E4F"/>
          <w:sz w:val="52"/>
          <w:szCs w:val="52"/>
        </w:rPr>
        <w:br/>
        <w:t xml:space="preserve">and Diligence Q&amp;A</w:t>
      </w:r>
    </w:p>
    <w:p>
      <w:pPr>
        <w:pBdr>
          <w:bottom w:val="single" w:color="1C9E63" w:sz="12" w:space="10"/>
        </w:pBdr>
        <w:spacing w:after="520"/>
      </w:pPr>
    </w:p>
    <w:p>
      <w:pPr>
        <w:spacing w:after="520"/>
      </w:pPr>
      <w:r>
        <w:rPr>
          <w:rFonts w:ascii="Georgia" w:cs="Georgia" w:eastAsia="Georgia" w:hAnsi="Georgia"/>
          <w:i/>
          <w:iCs/>
          <w:color w:val="3C474F"/>
          <w:sz w:val="22"/>
          <w:szCs w:val="22"/>
        </w:rPr>
        <w:t xml:space="preserve">Companion to the pitch deck. Send this when someone asks for detail after the deck, or bring it to the second meeting.</w:t>
      </w:r>
    </w:p>
    <w:p>
      <w:pPr>
        <w:spacing w:after="60"/>
      </w:pPr>
      <w:r>
        <w:rPr>
          <w:rFonts w:ascii="Arial" w:cs="Arial" w:eastAsia="Arial" w:hAnsi="Arial"/>
          <w:b/>
          <w:bCs/>
          <w:color w:val="6B7780"/>
          <w:spacing w:val="24"/>
          <w:sz w:val="15"/>
          <w:szCs w:val="15"/>
        </w:rPr>
        <w:t xml:space="preserve">DOCUMENT   </w:t>
      </w:r>
      <w:r>
        <w:rPr>
          <w:rFonts w:ascii="Arial" w:cs="Arial" w:eastAsia="Arial" w:hAnsi="Arial"/>
          <w:color w:val="263E4F"/>
          <w:sz w:val="18"/>
          <w:szCs w:val="18"/>
        </w:rPr>
        <w:t xml:space="preserve">BUS-002</w:t>
      </w:r>
    </w:p>
    <w:p>
      <w:pPr>
        <w:spacing w:after="60"/>
      </w:pPr>
      <w:r>
        <w:rPr>
          <w:rFonts w:ascii="Arial" w:cs="Arial" w:eastAsia="Arial" w:hAnsi="Arial"/>
          <w:b/>
          <w:bCs/>
          <w:color w:val="6B7780"/>
          <w:spacing w:val="24"/>
          <w:sz w:val="15"/>
          <w:szCs w:val="15"/>
        </w:rPr>
        <w:t xml:space="preserve">VERSION   </w:t>
      </w:r>
      <w:r>
        <w:rPr>
          <w:rFonts w:ascii="Arial" w:cs="Arial" w:eastAsia="Arial" w:hAnsi="Arial"/>
          <w:color w:val="263E4F"/>
          <w:sz w:val="18"/>
          <w:szCs w:val="18"/>
        </w:rPr>
        <w:t xml:space="preserve">1.0</w:t>
      </w:r>
    </w:p>
    <w:p>
      <w:pPr>
        <w:spacing w:after="60"/>
      </w:pPr>
      <w:r>
        <w:rPr>
          <w:rFonts w:ascii="Arial" w:cs="Arial" w:eastAsia="Arial" w:hAnsi="Arial"/>
          <w:b/>
          <w:bCs/>
          <w:color w:val="6B7780"/>
          <w:spacing w:val="24"/>
          <w:sz w:val="15"/>
          <w:szCs w:val="15"/>
        </w:rPr>
        <w:t xml:space="preserve">DATE   </w:t>
      </w:r>
      <w:r>
        <w:rPr>
          <w:rFonts w:ascii="Arial" w:cs="Arial" w:eastAsia="Arial" w:hAnsi="Arial"/>
          <w:color w:val="263E4F"/>
          <w:sz w:val="18"/>
          <w:szCs w:val="18"/>
        </w:rPr>
        <w:t xml:space="preserve">19 September 2026</w:t>
      </w:r>
    </w:p>
    <w:p>
      <w:pPr>
        <w:spacing w:after="60"/>
      </w:pPr>
      <w:r>
        <w:rPr>
          <w:rFonts w:ascii="Arial" w:cs="Arial" w:eastAsia="Arial" w:hAnsi="Arial"/>
          <w:b/>
          <w:bCs/>
          <w:color w:val="6B7780"/>
          <w:spacing w:val="24"/>
          <w:sz w:val="15"/>
          <w:szCs w:val="15"/>
        </w:rPr>
        <w:t xml:space="preserve">CLASSIFICATION   </w:t>
      </w:r>
      <w:r>
        <w:rPr>
          <w:rFonts w:ascii="Arial" w:cs="Arial" w:eastAsia="Arial" w:hAnsi="Arial"/>
          <w:color w:val="263E4F"/>
          <w:sz w:val="18"/>
          <w:szCs w:val="18"/>
        </w:rPr>
        <w:t xml:space="preserve">Confidential</w:t>
      </w:r>
    </w:p>
    <w:p>
      <w:r>
        <w:br w:type="page"/>
      </w:r>
    </w:p>
    <w:p>
      <w:pPr>
        <w:pBdr>
          <w:bottom w:val="single" w:color="1C9E63" w:sz="6" w:space="6"/>
        </w:pBdr>
        <w:spacing w:after="200" w:before="420"/>
      </w:pPr>
      <w:r>
        <w:rPr>
          <w:rFonts w:ascii="Arial" w:cs="Arial" w:eastAsia="Arial" w:hAnsi="Arial"/>
          <w:b/>
          <w:bCs/>
          <w:color w:val="263E4F"/>
          <w:sz w:val="26"/>
          <w:szCs w:val="26"/>
        </w:rPr>
        <w:t xml:space="preserve">Part One — The brief</w:t>
      </w:r>
    </w:p>
    <w:p>
      <w:pPr>
        <w:spacing w:after="120" w:before="300"/>
      </w:pPr>
      <w:r>
        <w:rPr>
          <w:rFonts w:ascii="Arial" w:cs="Arial" w:eastAsia="Arial" w:hAnsi="Arial"/>
          <w:b/>
          <w:bCs/>
          <w:color w:val="263E4F"/>
          <w:sz w:val="22"/>
          <w:szCs w:val="22"/>
        </w:rPr>
        <w:t xml:space="preserve">In one line</w:t>
      </w:r>
    </w:p>
    <w:p>
      <w:pPr>
        <w:spacing w:after="220" w:line="288"/>
      </w:pPr>
      <w:r>
        <w:rPr>
          <w:rFonts w:ascii="Georgia" w:cs="Georgia" w:eastAsia="Georgia" w:hAnsi="Georgia"/>
          <w:color w:val="263E4F"/>
          <w:sz w:val="24"/>
          <w:szCs w:val="24"/>
        </w:rPr>
        <w:t xml:space="preserve">MiliPay lets Nigerians pay at the till with their palm, straight from their own bank account — no card, no phone, no stored value.</w:t>
      </w:r>
    </w:p>
    <w:p>
      <w:pPr>
        <w:spacing w:after="120" w:before="300"/>
      </w:pPr>
      <w:r>
        <w:rPr>
          <w:rFonts w:ascii="Arial" w:cs="Arial" w:eastAsia="Arial" w:hAnsi="Arial"/>
          <w:b/>
          <w:bCs/>
          <w:color w:val="263E4F"/>
          <w:sz w:val="22"/>
          <w:szCs w:val="22"/>
        </w:rPr>
        <w:t xml:space="preserve">The opening</w:t>
      </w:r>
    </w:p>
    <w:p>
      <w:pPr>
        <w:spacing w:after="160" w:line="276"/>
        <w:jc w:val="both"/>
      </w:pPr>
      <w:r>
        <w:rPr>
          <w:rFonts w:ascii="Georgia" w:cs="Georgia" w:eastAsia="Georgia" w:hAnsi="Georgia"/>
          <w:color w:val="232B31"/>
          <w:sz w:val="21"/>
          <w:szCs w:val="21"/>
        </w:rPr>
        <w:t xml:space="preserve">Nigeria moved ₦1.053 quadrillion electronically in the first quarter of 2026. But point-of-sale is going backwards: PoS volume fell 19.9 percent year on year and value fell 16.4 percent. People are abandoning the card at the till and sending bank transfers instead — a slower, clumsier method they have chosen because the card experience is worse.</w:t>
      </w:r>
    </w:p>
    <w:p>
      <w:pPr>
        <w:spacing w:after="160" w:line="276"/>
        <w:jc w:val="both"/>
      </w:pPr>
      <w:r>
        <w:rPr>
          <w:rFonts w:ascii="Georgia" w:cs="Georgia" w:eastAsia="Georgia" w:hAnsi="Georgia"/>
          <w:color w:val="232B31"/>
          <w:sz w:val="21"/>
          <w:szCs w:val="21"/>
        </w:rPr>
        <w:t xml:space="preserve">The card is the failure point. It gets forgotten, lost, damaged, skimmed and declined. And the fraud that remains in the system — ₦25.85 billion in 2025 — is led by social engineering, which works precisely because what is being authenticated is a credential a person can be tricked into surrendering.</w:t>
      </w:r>
    </w:p>
    <w:p>
      <w:pPr>
        <w:spacing w:after="160" w:line="276"/>
        <w:jc w:val="both"/>
      </w:pPr>
      <w:r>
        <w:rPr>
          <w:rFonts w:ascii="Georgia" w:cs="Georgia" w:eastAsia="Georgia" w:hAnsi="Georgia"/>
          <w:color w:val="232B31"/>
          <w:sz w:val="21"/>
          <w:szCs w:val="21"/>
        </w:rPr>
        <w:t xml:space="preserve">MiliPay authenticates the person instead.</w:t>
      </w:r>
    </w:p>
    <w:p>
      <w:pPr>
        <w:spacing w:after="120" w:before="300"/>
      </w:pPr>
      <w:r>
        <w:rPr>
          <w:rFonts w:ascii="Arial" w:cs="Arial" w:eastAsia="Arial" w:hAnsi="Arial"/>
          <w:b/>
          <w:bCs/>
          <w:color w:val="263E4F"/>
          <w:sz w:val="22"/>
          <w:szCs w:val="22"/>
        </w:rPr>
        <w:t xml:space="preserve">What we do</w:t>
      </w:r>
    </w:p>
    <w:p>
      <w:pPr>
        <w:spacing w:after="160" w:line="276"/>
        <w:jc w:val="both"/>
      </w:pPr>
      <w:r>
        <w:rPr>
          <w:rFonts w:ascii="Georgia" w:cs="Georgia" w:eastAsia="Georgia" w:hAnsi="Georgia"/>
          <w:color w:val="232B31"/>
          <w:sz w:val="21"/>
          <w:szCs w:val="21"/>
        </w:rPr>
        <w:t xml:space="preserve">A customer enrols once, in person, with a MiliPay field agent who verifies their NIN and captures a palm vein scan. They link up to three of their own bank accounts. At a participating shop, the attendant enters the amount, the customer holds their palm over the terminal, and the payment is authorised against the account they chose. The merchant receives 98.5 percent; MiliPay keeps 1.5 percent.</w:t>
      </w:r>
    </w:p>
    <w:p>
      <w:pPr>
        <w:spacing w:after="160" w:line="276"/>
        <w:jc w:val="both"/>
      </w:pPr>
      <w:r>
        <w:rPr>
          <w:rFonts w:ascii="Georgia" w:cs="Georgia" w:eastAsia="Georgia" w:hAnsi="Georgia"/>
          <w:color w:val="232B31"/>
          <w:sz w:val="21"/>
          <w:szCs w:val="21"/>
        </w:rPr>
        <w:t xml:space="preserve">We never hold the money. Not for a second. That single decision is why banks are our partners rather than our competitors, why the regulatory conversation is about authentication rather than deposit-taking, and why our balance sheet carries no float.</w:t>
      </w:r>
    </w:p>
    <w:p>
      <w:pPr>
        <w:spacing w:after="120" w:before="300"/>
      </w:pPr>
      <w:r>
        <w:rPr>
          <w:rFonts w:ascii="Arial" w:cs="Arial" w:eastAsia="Arial" w:hAnsi="Arial"/>
          <w:b/>
          <w:bCs/>
          <w:color w:val="263E4F"/>
          <w:sz w:val="22"/>
          <w:szCs w:val="22"/>
        </w:rPr>
        <w:t xml:space="preserve">Why palm vein</w:t>
      </w:r>
    </w:p>
    <w:p>
      <w:pPr>
        <w:spacing w:after="160" w:line="276"/>
        <w:jc w:val="both"/>
      </w:pPr>
      <w:r>
        <w:rPr>
          <w:rFonts w:ascii="Georgia" w:cs="Georgia" w:eastAsia="Georgia" w:hAnsi="Georgia"/>
          <w:color w:val="232B31"/>
          <w:sz w:val="21"/>
          <w:szCs w:val="21"/>
        </w:rPr>
        <w:t xml:space="preserve">The vein pattern is beneath the skin. It cannot be lifted from a glass, it does not wear away with manual work the way fingerprints do — which matters enormously for market traders and anyone who works with their hands — and it is hard to spoof. Our hardware captures in near-infrared and RGB simultaneously, with liveness detection that rejects photographs, screens and moulded hands.</w:t>
      </w:r>
    </w:p>
    <w:p>
      <w:pPr>
        <w:spacing w:after="160" w:line="276"/>
        <w:jc w:val="both"/>
      </w:pPr>
      <w:r>
        <w:rPr>
          <w:rFonts w:ascii="Georgia" w:cs="Georgia" w:eastAsia="Georgia" w:hAnsi="Georgia"/>
          <w:color w:val="232B31"/>
          <w:sz w:val="21"/>
          <w:szCs w:val="21"/>
        </w:rPr>
        <w:t xml:space="preserve">We did not arrive at palm vein because fingerprint failed. We chose it because it is the stronger primitive, and we will add fingerprint later for hardware breadth, not as a fallback.</w:t>
      </w:r>
    </w:p>
    <w:p>
      <w:pPr>
        <w:spacing w:after="120" w:before="300"/>
      </w:pPr>
      <w:r>
        <w:rPr>
          <w:rFonts w:ascii="Arial" w:cs="Arial" w:eastAsia="Arial" w:hAnsi="Arial"/>
          <w:b/>
          <w:bCs/>
          <w:color w:val="263E4F"/>
          <w:sz w:val="22"/>
          <w:szCs w:val="22"/>
        </w:rPr>
        <w:t xml:space="preserve">What is built</w:t>
      </w:r>
    </w:p>
    <w:p>
      <w:pPr>
        <w:spacing w:after="160" w:line="276"/>
        <w:jc w:val="both"/>
      </w:pPr>
      <w:r>
        <w:rPr>
          <w:rFonts w:ascii="Georgia" w:cs="Georgia" w:eastAsia="Georgia" w:hAnsi="Georgia"/>
          <w:color w:val="232B31"/>
          <w:sz w:val="21"/>
          <w:szCs w:val="21"/>
        </w:rPr>
        <w:t xml:space="preserve">Four role-separated web portals — admin, field agent, support and merchant. A customer mobile app. Agent-mediated enrolment with administrator approval. Merchant onboarding with settlement account verification against NIBSS through Mono. Bank account linking, live. POS terminal fleet management. A transaction ledger partitioned by month from day one. KYC tiers with per-transaction and daily limits, and a PIN threshold the customer sets themselves. Two-tier support with live chat.</w:t>
      </w:r>
    </w:p>
    <w:p>
      <w:pPr>
        <w:spacing w:after="160" w:line="276"/>
        <w:jc w:val="both"/>
      </w:pPr>
      <w:r>
        <w:rPr>
          <w:rFonts w:ascii="Georgia" w:cs="Georgia" w:eastAsia="Georgia" w:hAnsi="Georgia"/>
          <w:color w:val="232B31"/>
          <w:sz w:val="21"/>
          <w:szCs w:val="21"/>
        </w:rPr>
        <w:t xml:space="preserve">And a complete airtime, data, electricity and cable payment business, working end to end today, including automatic reversal when an operator fails after we have debited the customer.</w:t>
      </w:r>
    </w:p>
    <w:p>
      <w:pPr>
        <w:spacing w:after="120" w:before="300"/>
      </w:pPr>
      <w:r>
        <w:rPr>
          <w:rFonts w:ascii="Arial" w:cs="Arial" w:eastAsia="Arial" w:hAnsi="Arial"/>
          <w:b/>
          <w:bCs/>
          <w:color w:val="263E4F"/>
          <w:sz w:val="22"/>
          <w:szCs w:val="22"/>
        </w:rPr>
        <w:t xml:space="preserve">What is not built</w:t>
      </w:r>
    </w:p>
    <w:p>
      <w:pPr>
        <w:spacing w:after="160" w:line="276"/>
        <w:jc w:val="both"/>
      </w:pPr>
      <w:r>
        <w:rPr>
          <w:rFonts w:ascii="Georgia" w:cs="Georgia" w:eastAsia="Georgia" w:hAnsi="Georgia"/>
          <w:color w:val="232B31"/>
          <w:sz w:val="21"/>
          <w:szCs w:val="21"/>
        </w:rPr>
        <w:t xml:space="preserve">The palm vein matching engine and the execution of the bank debit.</w:t>
      </w:r>
    </w:p>
    <w:p>
      <w:pPr>
        <w:spacing w:after="160" w:line="276"/>
        <w:jc w:val="both"/>
      </w:pPr>
      <w:r>
        <w:rPr>
          <w:rFonts w:ascii="Georgia" w:cs="Georgia" w:eastAsia="Georgia" w:hAnsi="Georgia"/>
          <w:color w:val="232B31"/>
          <w:sz w:val="21"/>
          <w:szCs w:val="21"/>
        </w:rPr>
        <w:t xml:space="preserve">We say this plainly because it is what a technical diligence process will find in an afternoon, and because the alternative — letting an investor discover it themselves — costs more than the candour does. Everything around those two components is real. Those two are the roadmap.</w:t>
      </w:r>
    </w:p>
    <w:p>
      <w:pPr>
        <w:spacing w:after="120" w:before="300"/>
      </w:pPr>
      <w:r>
        <w:rPr>
          <w:rFonts w:ascii="Arial" w:cs="Arial" w:eastAsia="Arial" w:hAnsi="Arial"/>
          <w:b/>
          <w:bCs/>
          <w:color w:val="263E4F"/>
          <w:sz w:val="22"/>
          <w:szCs w:val="22"/>
        </w:rPr>
        <w:t xml:space="preserve">The ask</w:t>
      </w:r>
    </w:p>
    <w:p>
      <w:pPr>
        <w:spacing w:after="160" w:line="276"/>
        <w:jc w:val="both"/>
      </w:pPr>
      <w:r>
        <w:rPr>
          <w:rFonts w:ascii="Georgia" w:cs="Georgia" w:eastAsia="Georgia" w:hAnsi="Georgia"/>
          <w:color w:val="232B31"/>
          <w:sz w:val="21"/>
          <w:szCs w:val="21"/>
        </w:rPr>
        <w:t xml:space="preserve">Pre-seed. Funds go to completing the matching engine, closing the settlement rail with a bank or licensed switch, and running a single-cluster pilot instrumented to produce the three numbers that decide this business: terminal payback period, active customers per merchant, and enrolment cost per customer.</w:t>
      </w:r>
    </w:p>
    <w:p>
      <w:pPr>
        <w:pBdr>
          <w:bottom w:val="single" w:color="1C9E63" w:sz="6" w:space="6"/>
        </w:pBdr>
        <w:spacing w:after="200" w:before="420"/>
      </w:pPr>
      <w:r>
        <w:rPr>
          <w:rFonts w:ascii="Arial" w:cs="Arial" w:eastAsia="Arial" w:hAnsi="Arial"/>
          <w:b/>
          <w:bCs/>
          <w:color w:val="263E4F"/>
          <w:sz w:val="26"/>
          <w:szCs w:val="26"/>
        </w:rPr>
        <w:t xml:space="preserve">Part Two — Diligence Q&amp;A</w:t>
      </w:r>
    </w:p>
    <w:p>
      <w:pPr>
        <w:spacing w:after="160" w:line="276"/>
        <w:jc w:val="both"/>
      </w:pPr>
      <w:r>
        <w:rPr>
          <w:rFonts w:ascii="Georgia" w:cs="Georgia" w:eastAsia="Georgia" w:hAnsi="Georgia"/>
          <w:color w:val="232B31"/>
          <w:sz w:val="21"/>
          <w:szCs w:val="21"/>
        </w:rPr>
        <w:t xml:space="preserve">These are the questions we expect, with the answers we would give. Where the honest answer is “not yet”, it says so.</w:t>
      </w:r>
    </w:p>
    <w:p>
      <w:pPr>
        <w:spacing w:after="100" w:before="240"/>
      </w:pPr>
      <w:r>
        <w:rPr>
          <w:rFonts w:ascii="Arial" w:cs="Arial" w:eastAsia="Arial" w:hAnsi="Arial"/>
          <w:b/>
          <w:bCs/>
          <w:color w:val="1C9E63"/>
          <w:spacing w:val="20"/>
          <w:sz w:val="17"/>
          <w:szCs w:val="17"/>
        </w:rPr>
        <w:t xml:space="preserve">ON THE PRODUCT</w:t>
      </w:r>
    </w:p>
    <w:p>
      <w:pPr>
        <w:spacing w:after="90" w:before="220"/>
      </w:pPr>
      <w:r>
        <w:rPr>
          <w:rFonts w:ascii="Arial" w:cs="Arial" w:eastAsia="Arial" w:hAnsi="Arial"/>
          <w:b/>
          <w:bCs/>
          <w:color w:val="263E4F"/>
          <w:sz w:val="20"/>
          <w:szCs w:val="20"/>
        </w:rPr>
        <w:t xml:space="preserve">Does the biometric actually work today?</w:t>
      </w:r>
    </w:p>
    <w:p>
      <w:pPr>
        <w:spacing w:after="160" w:line="276"/>
        <w:jc w:val="both"/>
      </w:pPr>
      <w:r>
        <w:rPr>
          <w:rFonts w:ascii="Georgia" w:cs="Georgia" w:eastAsia="Georgia" w:hAnsi="Georgia"/>
          <w:color w:val="232B31"/>
          <w:sz w:val="21"/>
          <w:szCs w:val="21"/>
        </w:rPr>
        <w:t xml:space="preserve">No. Enrolment captures and stores a template field, but the matching engine that turns a palm scan into an identity is specified and not yet built. Today the payment path is told who the customer is rather than working it out. Building that engine against the HFSecurity Linux SDK is the critical path, and the first thing we will publish is a measured first-attempt match rate from real hardware, not a vendor’s claim.</w:t>
      </w:r>
    </w:p>
    <w:p>
      <w:pPr>
        <w:spacing w:after="90" w:before="220"/>
      </w:pPr>
      <w:r>
        <w:rPr>
          <w:rFonts w:ascii="Arial" w:cs="Arial" w:eastAsia="Arial" w:hAnsi="Arial"/>
          <w:b/>
          <w:bCs/>
          <w:color w:val="263E4F"/>
          <w:sz w:val="20"/>
          <w:szCs w:val="20"/>
        </w:rPr>
        <w:t xml:space="preserve">What is your match accuracy?</w:t>
      </w:r>
    </w:p>
    <w:p>
      <w:pPr>
        <w:spacing w:after="160" w:line="276"/>
        <w:jc w:val="both"/>
      </w:pPr>
      <w:r>
        <w:rPr>
          <w:rFonts w:ascii="Georgia" w:cs="Georgia" w:eastAsia="Georgia" w:hAnsi="Georgia"/>
          <w:color w:val="232B31"/>
          <w:sz w:val="21"/>
          <w:szCs w:val="21"/>
        </w:rPr>
        <w:t xml:space="preserve">We will not quote a number we have not measured. The vendor’s specification for the HP605PV is recognition in 450 ms or less. Our own field first-attempt match rate is exactly what the pilot exists to establish.</w:t>
      </w:r>
    </w:p>
    <w:p>
      <w:pPr>
        <w:spacing w:after="90" w:before="220"/>
      </w:pPr>
      <w:r>
        <w:rPr>
          <w:rFonts w:ascii="Arial" w:cs="Arial" w:eastAsia="Arial" w:hAnsi="Arial"/>
          <w:b/>
          <w:bCs/>
          <w:color w:val="263E4F"/>
          <w:sz w:val="20"/>
          <w:szCs w:val="20"/>
        </w:rPr>
        <w:t xml:space="preserve">What happens when the palm does not read?</w:t>
      </w:r>
    </w:p>
    <w:p>
      <w:pPr>
        <w:spacing w:after="160" w:line="276"/>
        <w:jc w:val="both"/>
      </w:pPr>
      <w:r>
        <w:rPr>
          <w:rFonts w:ascii="Georgia" w:cs="Georgia" w:eastAsia="Georgia" w:hAnsi="Georgia"/>
          <w:color w:val="232B31"/>
          <w:sz w:val="21"/>
          <w:szCs w:val="21"/>
        </w:rPr>
        <w:t xml:space="preserve">That fallback path is an open product decision and we would rather admit it than invent an answer. The options are a PIN-only authorisation within a reduced limit, a second attempt with operator guidance, or a hard decline. A hard decline is the most secure and the worst experience at a queue. We will decide it on pilot data.</w:t>
      </w:r>
    </w:p>
    <w:p>
      <w:pPr>
        <w:spacing w:after="90" w:before="220"/>
      </w:pPr>
      <w:r>
        <w:rPr>
          <w:rFonts w:ascii="Arial" w:cs="Arial" w:eastAsia="Arial" w:hAnsi="Arial"/>
          <w:b/>
          <w:bCs/>
          <w:color w:val="263E4F"/>
          <w:sz w:val="20"/>
          <w:szCs w:val="20"/>
        </w:rPr>
        <w:t xml:space="preserve">Is the PIN a real second factor?</w:t>
      </w:r>
    </w:p>
    <w:p>
      <w:pPr>
        <w:spacing w:after="160" w:line="276"/>
        <w:jc w:val="both"/>
      </w:pPr>
      <w:r>
        <w:rPr>
          <w:rFonts w:ascii="Georgia" w:cs="Georgia" w:eastAsia="Georgia" w:hAnsi="Georgia"/>
          <w:color w:val="232B31"/>
          <w:sz w:val="21"/>
          <w:szCs w:val="21"/>
        </w:rPr>
        <w:t xml:space="preserve">Not yet. The system currently checks that a PIN was entered, not that it is correct. It is a several-hour fix and it is the first item in our hardening sprint. We have documented it internally rather than leaving it to be found.</w:t>
      </w:r>
    </w:p>
    <w:p>
      <w:pPr>
        <w:spacing w:after="100" w:before="240"/>
      </w:pPr>
      <w:r>
        <w:rPr>
          <w:rFonts w:ascii="Arial" w:cs="Arial" w:eastAsia="Arial" w:hAnsi="Arial"/>
          <w:b/>
          <w:bCs/>
          <w:color w:val="1C9E63"/>
          <w:spacing w:val="20"/>
          <w:sz w:val="17"/>
          <w:szCs w:val="17"/>
        </w:rPr>
        <w:t xml:space="preserve">ON THE MONEY</w:t>
      </w:r>
    </w:p>
    <w:p>
      <w:pPr>
        <w:spacing w:after="90" w:before="220"/>
      </w:pPr>
      <w:r>
        <w:rPr>
          <w:rFonts w:ascii="Arial" w:cs="Arial" w:eastAsia="Arial" w:hAnsi="Arial"/>
          <w:b/>
          <w:bCs/>
          <w:color w:val="263E4F"/>
          <w:sz w:val="20"/>
          <w:szCs w:val="20"/>
        </w:rPr>
        <w:t xml:space="preserve">How does the debit actually happen?</w:t>
      </w:r>
    </w:p>
    <w:p>
      <w:pPr>
        <w:spacing w:after="160" w:line="276"/>
        <w:jc w:val="both"/>
      </w:pPr>
      <w:r>
        <w:rPr>
          <w:rFonts w:ascii="Georgia" w:cs="Georgia" w:eastAsia="Georgia" w:hAnsi="Georgia"/>
          <w:color w:val="232B31"/>
          <w:sz w:val="21"/>
          <w:szCs w:val="21"/>
        </w:rPr>
        <w:t xml:space="preserve">Through Mono DirectPay, with a split that pays the merchant 98.5 percent and us 1.5 percent — or through a licensed switch, if that proves the better route commercially. Account linking through Mono is live. The debit execution is not yet wired, and which rail we use is one of the two open commercial decisions.</w:t>
      </w:r>
    </w:p>
    <w:p>
      <w:pPr>
        <w:spacing w:after="90" w:before="220"/>
      </w:pPr>
      <w:r>
        <w:rPr>
          <w:rFonts w:ascii="Arial" w:cs="Arial" w:eastAsia="Arial" w:hAnsi="Arial"/>
          <w:b/>
          <w:bCs/>
          <w:color w:val="263E4F"/>
          <w:sz w:val="20"/>
          <w:szCs w:val="20"/>
        </w:rPr>
        <w:t xml:space="preserve">Are you licensed?</w:t>
      </w:r>
    </w:p>
    <w:p>
      <w:pPr>
        <w:spacing w:after="160" w:line="276"/>
        <w:jc w:val="both"/>
      </w:pPr>
      <w:r>
        <w:rPr>
          <w:rFonts w:ascii="Georgia" w:cs="Georgia" w:eastAsia="Georgia" w:hAnsi="Georgia"/>
          <w:color w:val="232B31"/>
          <w:sz w:val="21"/>
          <w:szCs w:val="21"/>
        </w:rPr>
        <w:t xml:space="preserve">No, and our position is that a strictly non-custodial authentication and payment-initiation layer faces a lighter licensing burden than an e-money or wallet model. That position needs to be confirmed in writing with the CBN, and obtaining preliminary regulatory guidance is a stated milestone rather than a completed one. We would rather be told our classification early than discover it late.</w:t>
      </w:r>
    </w:p>
    <w:p>
      <w:pPr>
        <w:spacing w:after="90" w:before="220"/>
      </w:pPr>
      <w:r>
        <w:rPr>
          <w:rFonts w:ascii="Arial" w:cs="Arial" w:eastAsia="Arial" w:hAnsi="Arial"/>
          <w:b/>
          <w:bCs/>
          <w:color w:val="263E4F"/>
          <w:sz w:val="20"/>
          <w:szCs w:val="20"/>
        </w:rPr>
        <w:t xml:space="preserve">What is your revenue today?</w:t>
      </w:r>
    </w:p>
    <w:p>
      <w:pPr>
        <w:spacing w:after="160" w:line="276"/>
        <w:jc w:val="both"/>
      </w:pPr>
      <w:r>
        <w:rPr>
          <w:rFonts w:ascii="Georgia" w:cs="Georgia" w:eastAsia="Georgia" w:hAnsi="Georgia"/>
          <w:color w:val="232B31"/>
          <w:sz w:val="21"/>
          <w:szCs w:val="21"/>
        </w:rPr>
        <w:t xml:space="preserve">The value-added services business generates margin per transaction — ₦25 on a data bundle, ₦30 on a cable subscription, configurable without a code change. Merchant transaction fees are calculated by the system but not yet collected, because the debit is not executed. We can show you the margin mechanics and the transaction records; we are not going to describe pre-revenue as revenue.</w:t>
      </w:r>
    </w:p>
    <w:p>
      <w:pPr>
        <w:spacing w:after="90" w:before="220"/>
      </w:pPr>
      <w:r>
        <w:rPr>
          <w:rFonts w:ascii="Arial" w:cs="Arial" w:eastAsia="Arial" w:hAnsi="Arial"/>
          <w:b/>
          <w:bCs/>
          <w:color w:val="263E4F"/>
          <w:sz w:val="20"/>
          <w:szCs w:val="20"/>
        </w:rPr>
        <w:t xml:space="preserve">Why is the VTU business in a biometric payments company?</w:t>
      </w:r>
    </w:p>
    <w:p>
      <w:pPr>
        <w:spacing w:after="160" w:line="276"/>
        <w:jc w:val="both"/>
      </w:pPr>
      <w:r>
        <w:rPr>
          <w:rFonts w:ascii="Georgia" w:cs="Georgia" w:eastAsia="Georgia" w:hAnsi="Georgia"/>
          <w:color w:val="232B31"/>
          <w:sz w:val="21"/>
          <w:szCs w:val="21"/>
        </w:rPr>
        <w:t xml:space="preserve">Three reasons, and only one of them is margin. It gives us real transaction economics to measure before the biometric engine ships. It gives a newly enrolled customer a reason to open the app between shop visits, which converts an enrolment into an active user. And it proves operationally that we can move value end to end and handle a failure correctly — the automatic reversal when an operator fails after we have debited is the part a bank partner actually cares about.</w:t>
      </w:r>
    </w:p>
    <w:p>
      <w:pPr>
        <w:spacing w:after="100" w:before="240"/>
      </w:pPr>
      <w:r>
        <w:rPr>
          <w:rFonts w:ascii="Arial" w:cs="Arial" w:eastAsia="Arial" w:hAnsi="Arial"/>
          <w:b/>
          <w:bCs/>
          <w:color w:val="1C9E63"/>
          <w:spacing w:val="20"/>
          <w:sz w:val="17"/>
          <w:szCs w:val="17"/>
        </w:rPr>
        <w:t xml:space="preserve">ON SECURITY AND DATA</w:t>
      </w:r>
    </w:p>
    <w:p>
      <w:pPr>
        <w:spacing w:after="90" w:before="220"/>
      </w:pPr>
      <w:r>
        <w:rPr>
          <w:rFonts w:ascii="Arial" w:cs="Arial" w:eastAsia="Arial" w:hAnsi="Arial"/>
          <w:b/>
          <w:bCs/>
          <w:color w:val="263E4F"/>
          <w:sz w:val="20"/>
          <w:szCs w:val="20"/>
        </w:rPr>
        <w:t xml:space="preserve">Where do the biometric templates live?</w:t>
      </w:r>
    </w:p>
    <w:p>
      <w:pPr>
        <w:spacing w:after="160" w:line="276"/>
        <w:jc w:val="both"/>
      </w:pPr>
      <w:r>
        <w:rPr>
          <w:rFonts w:ascii="Georgia" w:cs="Georgia" w:eastAsia="Georgia" w:hAnsi="Georgia"/>
          <w:color w:val="232B31"/>
          <w:sz w:val="21"/>
          <w:szCs w:val="21"/>
        </w:rPr>
        <w:t xml:space="preserve">In our own database, and never on the vendor’s cloud. We wrote that rule into our engineering standards before it was ever inconvenient to follow, specifically because the vendor ships a public demo endpoint that would have been the easy path.</w:t>
      </w:r>
    </w:p>
    <w:p>
      <w:pPr>
        <w:spacing w:after="160" w:line="276"/>
        <w:jc w:val="both"/>
      </w:pPr>
      <w:r>
        <w:rPr>
          <w:rFonts w:ascii="Georgia" w:cs="Georgia" w:eastAsia="Georgia" w:hAnsi="Georgia"/>
          <w:color w:val="232B31"/>
          <w:sz w:val="21"/>
          <w:szCs w:val="21"/>
        </w:rPr>
        <w:t xml:space="preserve">They are not yet encrypted at the application layer. That is scheduled before any real enrolment, along with an access audit log, and no real customer biometric will be captured before an independent security review closes with no critical findings.</w:t>
      </w:r>
    </w:p>
    <w:p>
      <w:pPr>
        <w:spacing w:after="90" w:before="220"/>
      </w:pPr>
      <w:r>
        <w:rPr>
          <w:rFonts w:ascii="Arial" w:cs="Arial" w:eastAsia="Arial" w:hAnsi="Arial"/>
          <w:b/>
          <w:bCs/>
          <w:color w:val="263E4F"/>
          <w:sz w:val="20"/>
          <w:szCs w:val="20"/>
        </w:rPr>
        <w:t xml:space="preserve">What stops a field agent abusing their access?</w:t>
      </w:r>
    </w:p>
    <w:p>
      <w:pPr>
        <w:spacing w:after="160" w:line="276"/>
        <w:jc w:val="both"/>
      </w:pPr>
      <w:r>
        <w:rPr>
          <w:rFonts w:ascii="Georgia" w:cs="Georgia" w:eastAsia="Georgia" w:hAnsi="Georgia"/>
          <w:color w:val="232B31"/>
          <w:sz w:val="21"/>
          <w:szCs w:val="21"/>
        </w:rPr>
        <w:t xml:space="preserve">Agents are the most sensitive trust point in the system and we designed around that. A field agent cannot see transaction data at all — not in the interface and not in the database, because the row-level security policy that grants staff access to the ledger deliberately excludes the agent role, and we dropped an earlier permissive policy specifically so it could not be bypassed. Every enrolment an agent submits is reviewed by an administrator before the account activates, and both the registering and the verifying staff member are recorded against the customer.</w:t>
      </w:r>
    </w:p>
    <w:p>
      <w:pPr>
        <w:spacing w:after="160" w:line="276"/>
        <w:jc w:val="both"/>
      </w:pPr>
      <w:r>
        <w:rPr>
          <w:rFonts w:ascii="Georgia" w:cs="Georgia" w:eastAsia="Georgia" w:hAnsi="Georgia"/>
          <w:color w:val="232B31"/>
          <w:sz w:val="21"/>
          <w:szCs w:val="21"/>
        </w:rPr>
        <w:t xml:space="preserve">What we do not yet have is NIN verification against NIMC — we record the number as entered. That is enrolment-fraud exposure and it is on the pre-pilot list.</w:t>
      </w:r>
    </w:p>
    <w:p>
      <w:pPr>
        <w:spacing w:after="90" w:before="220"/>
      </w:pPr>
      <w:r>
        <w:rPr>
          <w:rFonts w:ascii="Arial" w:cs="Arial" w:eastAsia="Arial" w:hAnsi="Arial"/>
          <w:b/>
          <w:bCs/>
          <w:color w:val="263E4F"/>
          <w:sz w:val="20"/>
          <w:szCs w:val="20"/>
        </w:rPr>
        <w:t xml:space="preserve">What happens if you are breached?</w:t>
      </w:r>
    </w:p>
    <w:p>
      <w:pPr>
        <w:spacing w:after="160" w:line="276"/>
        <w:jc w:val="both"/>
      </w:pPr>
      <w:r>
        <w:rPr>
          <w:rFonts w:ascii="Georgia" w:cs="Georgia" w:eastAsia="Georgia" w:hAnsi="Georgia"/>
          <w:color w:val="232B31"/>
          <w:sz w:val="21"/>
          <w:szCs w:val="21"/>
        </w:rPr>
        <w:t xml:space="preserve">We would have to tell you we could not fully reconstruct what was accessed, because there is no audit log yet. That is item TD-08 in our technical debt register and it is scheduled in the third hardening sprint. We think saying so is more useful than a reassuring answer.</w:t>
      </w:r>
    </w:p>
    <w:p>
      <w:pPr>
        <w:spacing w:after="100" w:before="240"/>
      </w:pPr>
      <w:r>
        <w:rPr>
          <w:rFonts w:ascii="Arial" w:cs="Arial" w:eastAsia="Arial" w:hAnsi="Arial"/>
          <w:b/>
          <w:bCs/>
          <w:color w:val="1C9E63"/>
          <w:spacing w:val="20"/>
          <w:sz w:val="17"/>
          <w:szCs w:val="17"/>
        </w:rPr>
        <w:t xml:space="preserve">ON THE BUSINESS</w:t>
      </w:r>
    </w:p>
    <w:p>
      <w:pPr>
        <w:spacing w:after="90" w:before="220"/>
      </w:pPr>
      <w:r>
        <w:rPr>
          <w:rFonts w:ascii="Arial" w:cs="Arial" w:eastAsia="Arial" w:hAnsi="Arial"/>
          <w:b/>
          <w:bCs/>
          <w:color w:val="263E4F"/>
          <w:sz w:val="20"/>
          <w:szCs w:val="20"/>
        </w:rPr>
        <w:t xml:space="preserve">Why will merchants adopt this?</w:t>
      </w:r>
    </w:p>
    <w:p>
      <w:pPr>
        <w:spacing w:after="160" w:line="276"/>
        <w:jc w:val="both"/>
      </w:pPr>
      <w:r>
        <w:rPr>
          <w:rFonts w:ascii="Georgia" w:cs="Georgia" w:eastAsia="Georgia" w:hAnsi="Georgia"/>
          <w:color w:val="232B31"/>
          <w:sz w:val="21"/>
          <w:szCs w:val="21"/>
        </w:rPr>
        <w:t xml:space="preserve">Fewer failed transactions and a faster queue. We are not competing on rate. The merchant types we target first — supermarkets, pharmacies, fuel, quick-service dining — are the ones where a declined card at the front of a queue has a visible cost.</w:t>
      </w:r>
    </w:p>
    <w:p>
      <w:pPr>
        <w:spacing w:after="90" w:before="220"/>
      </w:pPr>
      <w:r>
        <w:rPr>
          <w:rFonts w:ascii="Arial" w:cs="Arial" w:eastAsia="Arial" w:hAnsi="Arial"/>
          <w:b/>
          <w:bCs/>
          <w:color w:val="263E4F"/>
          <w:sz w:val="20"/>
          <w:szCs w:val="20"/>
        </w:rPr>
        <w:t xml:space="preserve">Why will customers adopt this?</w:t>
      </w:r>
    </w:p>
    <w:p>
      <w:pPr>
        <w:spacing w:after="160" w:line="276"/>
        <w:jc w:val="both"/>
      </w:pPr>
      <w:r>
        <w:rPr>
          <w:rFonts w:ascii="Georgia" w:cs="Georgia" w:eastAsia="Georgia" w:hAnsi="Georgia"/>
          <w:color w:val="232B31"/>
          <w:sz w:val="21"/>
          <w:szCs w:val="21"/>
        </w:rPr>
        <w:t xml:space="preserve">Because they cannot forget their hand. The behaviour change is small — present a palm instead of a card — and the enrolment is a single in-person appointment. The harder problem is density, not desire: a customer who can pay with their palm at one shop in twenty will not change habit. That is why phase one is a single dense cluster rather than a city.</w:t>
      </w:r>
    </w:p>
    <w:p>
      <w:pPr>
        <w:spacing w:after="90" w:before="220"/>
      </w:pPr>
      <w:r>
        <w:rPr>
          <w:rFonts w:ascii="Arial" w:cs="Arial" w:eastAsia="Arial" w:hAnsi="Arial"/>
          <w:b/>
          <w:bCs/>
          <w:color w:val="263E4F"/>
          <w:sz w:val="20"/>
          <w:szCs w:val="20"/>
        </w:rPr>
        <w:t xml:space="preserve">What is your moat?</w:t>
      </w:r>
    </w:p>
    <w:p>
      <w:pPr>
        <w:spacing w:after="160" w:line="276"/>
        <w:jc w:val="both"/>
      </w:pPr>
      <w:r>
        <w:rPr>
          <w:rFonts w:ascii="Georgia" w:cs="Georgia" w:eastAsia="Georgia" w:hAnsi="Georgia"/>
          <w:color w:val="232B31"/>
          <w:sz w:val="21"/>
          <w:szCs w:val="21"/>
        </w:rPr>
        <w:t xml:space="preserve">Enrolled templates, deployed certified hardware and agent network coverage, each of which compounds and none of which transfers to a competitor. Plus the regulatory position: a non-custodial model that banks can partner with rather than resist. We would not claim first-mover status in Nigerian biometric PoS without fresh competitive research, and we would rather tell you that than assert it and be corrected.</w:t>
      </w:r>
    </w:p>
    <w:p>
      <w:pPr>
        <w:spacing w:after="90" w:before="220"/>
      </w:pPr>
      <w:r>
        <w:rPr>
          <w:rFonts w:ascii="Arial" w:cs="Arial" w:eastAsia="Arial" w:hAnsi="Arial"/>
          <w:b/>
          <w:bCs/>
          <w:color w:val="263E4F"/>
          <w:sz w:val="20"/>
          <w:szCs w:val="20"/>
        </w:rPr>
        <w:t xml:space="preserve">Who pays for the terminals?</w:t>
      </w:r>
    </w:p>
    <w:p>
      <w:pPr>
        <w:spacing w:after="160" w:line="276"/>
        <w:jc w:val="both"/>
      </w:pPr>
      <w:r>
        <w:rPr>
          <w:rFonts w:ascii="Georgia" w:cs="Georgia" w:eastAsia="Georgia" w:hAnsi="Georgia"/>
          <w:color w:val="232B31"/>
          <w:sz w:val="21"/>
          <w:szCs w:val="21"/>
        </w:rPr>
        <w:t xml:space="preserve">Undecided, and it is one of the two commercial decisions we are actively working. MiliPay capex, merchant purchase, or bank subsidy each produce a different balance sheet and a different sales motion. We would welcome an investor’s view.</w:t>
      </w:r>
    </w:p>
    <w:p>
      <w:pPr>
        <w:spacing w:after="90" w:before="220"/>
      </w:pPr>
      <w:r>
        <w:rPr>
          <w:rFonts w:ascii="Arial" w:cs="Arial" w:eastAsia="Arial" w:hAnsi="Arial"/>
          <w:b/>
          <w:bCs/>
          <w:color w:val="263E4F"/>
          <w:sz w:val="20"/>
          <w:szCs w:val="20"/>
        </w:rPr>
        <w:t xml:space="preserve">Four people and no compliance function. Isn’t that a problem?</w:t>
      </w:r>
    </w:p>
    <w:p>
      <w:pPr>
        <w:spacing w:after="160" w:line="276"/>
        <w:jc w:val="both"/>
      </w:pPr>
      <w:r>
        <w:rPr>
          <w:rFonts w:ascii="Georgia" w:cs="Georgia" w:eastAsia="Georgia" w:hAnsi="Georgia"/>
          <w:color w:val="232B31"/>
          <w:sz w:val="21"/>
          <w:szCs w:val="21"/>
        </w:rPr>
        <w:t xml:space="preserve">Yes. Compliance and legal is our most urgent gap for a company handling biometric data and payment instructions, and we currently source it through external professional engagements rather than in-house. Specialist C++ and biometric SDK engineering is the second gap and it sits on the critical path. Both are in the use of funds.</w:t>
      </w:r>
    </w:p>
    <w:p>
      <w:pPr>
        <w:spacing w:after="100" w:before="240"/>
      </w:pPr>
      <w:r>
        <w:rPr>
          <w:rFonts w:ascii="Arial" w:cs="Arial" w:eastAsia="Arial" w:hAnsi="Arial"/>
          <w:b/>
          <w:bCs/>
          <w:color w:val="1C9E63"/>
          <w:spacing w:val="20"/>
          <w:sz w:val="17"/>
          <w:szCs w:val="17"/>
        </w:rPr>
        <w:t xml:space="preserve">ON EXECUTION</w:t>
      </w:r>
    </w:p>
    <w:p>
      <w:pPr>
        <w:spacing w:after="90" w:before="220"/>
      </w:pPr>
      <w:r>
        <w:rPr>
          <w:rFonts w:ascii="Arial" w:cs="Arial" w:eastAsia="Arial" w:hAnsi="Arial"/>
          <w:b/>
          <w:bCs/>
          <w:color w:val="263E4F"/>
          <w:sz w:val="20"/>
          <w:szCs w:val="20"/>
        </w:rPr>
        <w:t xml:space="preserve">What have you actually shipped?</w:t>
      </w:r>
    </w:p>
    <w:p>
      <w:pPr>
        <w:spacing w:after="160" w:line="276"/>
        <w:jc w:val="both"/>
      </w:pPr>
      <w:r>
        <w:rPr>
          <w:rFonts w:ascii="Georgia" w:cs="Georgia" w:eastAsia="Georgia" w:hAnsi="Georgia"/>
          <w:color w:val="232B31"/>
          <w:sz w:val="21"/>
          <w:szCs w:val="21"/>
        </w:rPr>
        <w:t xml:space="preserve">Four production web portals, a mobile app, twenty-one database migrations, nine backend functions, a live Open Banking integration and a working bill-payment business — with four people, in months. We would point to two things specifically as evidence of engineering judgement rather than speed: the transaction ledger was partitioned by month in the very first migration, which most companies retrofit painfully at year three; and when a merchant is deleted, the transaction history is preserved by decoupling rather than cascading, because the CBN audit trail matters more than tidy data.</w:t>
      </w:r>
    </w:p>
    <w:p>
      <w:pPr>
        <w:spacing w:after="90" w:before="220"/>
      </w:pPr>
      <w:r>
        <w:rPr>
          <w:rFonts w:ascii="Arial" w:cs="Arial" w:eastAsia="Arial" w:hAnsi="Arial"/>
          <w:b/>
          <w:bCs/>
          <w:color w:val="263E4F"/>
          <w:sz w:val="20"/>
          <w:szCs w:val="20"/>
        </w:rPr>
        <w:t xml:space="preserve">Why should we believe your timelines?</w:t>
      </w:r>
    </w:p>
    <w:p>
      <w:pPr>
        <w:spacing w:after="160" w:line="276"/>
        <w:jc w:val="both"/>
      </w:pPr>
      <w:r>
        <w:rPr>
          <w:rFonts w:ascii="Georgia" w:cs="Georgia" w:eastAsia="Georgia" w:hAnsi="Georgia"/>
          <w:color w:val="232B31"/>
          <w:sz w:val="21"/>
          <w:szCs w:val="21"/>
        </w:rPr>
        <w:t xml:space="preserve">Because we are giving you our defect list rather than our best case. Our internal technical debt register scores thirty-one items by severity and sequences them into four sprints, and it opens by stating that the core biometric claim is unimplemented. A team that hides that is a team whose timelines you cannot check.</w:t>
      </w:r>
    </w:p>
    <w:p>
      <w:pPr>
        <w:spacing w:after="90" w:before="220"/>
      </w:pPr>
      <w:r>
        <w:rPr>
          <w:rFonts w:ascii="Arial" w:cs="Arial" w:eastAsia="Arial" w:hAnsi="Arial"/>
          <w:b/>
          <w:bCs/>
          <w:color w:val="263E4F"/>
          <w:sz w:val="20"/>
          <w:szCs w:val="20"/>
        </w:rPr>
        <w:t xml:space="preserve">What is the next twelve months?</w:t>
      </w:r>
    </w:p>
    <w:p>
      <w:pPr>
        <w:spacing w:after="160" w:line="276"/>
        <w:jc w:val="both"/>
      </w:pPr>
      <w:r>
        <w:rPr>
          <w:rFonts w:ascii="Georgia" w:cs="Georgia" w:eastAsia="Georgia" w:hAnsi="Georgia"/>
          <w:color w:val="232B31"/>
          <w:sz w:val="21"/>
          <w:szCs w:val="21"/>
        </w:rPr>
        <w:t xml:space="preserve">Roughly five weeks of hardening. Then the matching engine and a measured match rate. Then a single-cluster pilot with real biometrics, gated on a clean security review. Then repricing on real data and the first chain merchant, alongside a bank or switch agreement and written regulatory guidance.</w:t>
      </w:r>
    </w:p>
    <w:p>
      <w:pPr>
        <w:pBdr>
          <w:bottom w:val="single" w:color="1C9E63" w:sz="6" w:space="6"/>
        </w:pBdr>
        <w:spacing w:after="200" w:before="420"/>
      </w:pPr>
      <w:r>
        <w:rPr>
          <w:rFonts w:ascii="Arial" w:cs="Arial" w:eastAsia="Arial" w:hAnsi="Arial"/>
          <w:b/>
          <w:bCs/>
          <w:color w:val="263E4F"/>
          <w:sz w:val="26"/>
          <w:szCs w:val="26"/>
        </w:rPr>
        <w:t xml:space="preserve">Part Three — What we would want from an investor</w:t>
      </w:r>
    </w:p>
    <w:p>
      <w:pPr>
        <w:spacing w:after="160" w:line="276"/>
        <w:jc w:val="both"/>
      </w:pPr>
      <w:r>
        <w:rPr>
          <w:rFonts w:ascii="Georgia" w:cs="Georgia" w:eastAsia="Georgia" w:hAnsi="Georgia"/>
          <w:color w:val="232B31"/>
          <w:sz w:val="21"/>
          <w:szCs w:val="21"/>
        </w:rPr>
        <w:t xml:space="preserve">Beyond capital: an introduction to a licensed Nigerian bank or payment switch, which is the single highest-leverage thing anyone could do for this company right now; a view on the terminal capex question from someone who has seen hardware-dependent rollouts before; and help hiring a compliance lead who has been through a CBN conversation.</w:t>
      </w:r>
    </w:p>
    <w:p>
      <w:pPr>
        <w:pBdr>
          <w:bottom w:val="single" w:color="D8DDE1" w:sz="4" w:space="4"/>
        </w:pBdr>
        <w:spacing w:after="200" w:before="200"/>
      </w:pPr>
    </w:p>
    <w:p>
      <w:pPr>
        <w:spacing w:before="120"/>
      </w:pPr>
      <w:r>
        <w:rPr>
          <w:rFonts w:ascii="Georgia" w:cs="Georgia" w:eastAsia="Georgia" w:hAnsi="Georgia"/>
          <w:i/>
          <w:iCs/>
          <w:color w:val="6B7780"/>
          <w:sz w:val="17"/>
          <w:szCs w:val="17"/>
        </w:rPr>
        <w:t xml:space="preserve">Prepared as part of the MiliPay documentation programme, 19 September 2026. Market figures are sourced in BUS-001 section 13 and should be refreshed from the NIBSS primary data before external use.</w:t>
      </w:r>
    </w:p>
    <w:sectPr>
      <w:headerReference w:type="default" r:id="rId7"/>
      <w:headerReference w:type="first" r:id="rId8"/>
      <w:footerReference w:type="default" r:id="rId9"/>
      <w:footerReference w:type="first" r:id="rId10"/>
      <w:pgSz w:w="11906" w:h="16838" w:orient="portrait"/>
      <w:pgMar w:top="1985" w:right="1418" w:bottom="1418" w:left="1418" w:header="680"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1" w:sz="4" w:space="8"/>
      </w:pBdr>
      <w:spacing w:before="60"/>
    </w:pPr>
    <w:r>
      <w:rPr>
        <w:rFonts w:ascii="Arial" w:cs="Arial" w:eastAsia="Arial" w:hAnsi="Arial"/>
        <w:color w:val="6B7780"/>
        <w:sz w:val="15"/>
        <w:szCs w:val="15"/>
      </w:rPr>
      <w:t xml:space="preserve">MiliPay — Confidential</w:t>
    </w:r>
    <w:r>
      <w:rPr>
        <w:rFonts w:ascii="Arial" w:cs="Arial" w:eastAsia="Arial" w:hAnsi="Arial"/>
        <w:color w:val="6B7780"/>
        <w:sz w:val="15"/>
        <w:szCs w:val="15"/>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1" w:sz="4" w:space="8"/>
      </w:pBdr>
      <w:spacing w:after="80"/>
    </w:pPr>
    <w:r>
      <w:drawing>
        <wp:inline distT="0" distB="0" distL="0" distR="0">
          <wp:extent cx="13716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71600" cy="314325"/>
                  </a:xfrm>
                  <a:prstGeom prst="rect">
                    <a:avLst/>
                  </a:prstGeom>
                </pic:spPr>
              </pic:pic>
            </a:graphicData>
          </a:graphic>
        </wp:inline>
      </w:drawing>
    </w:r>
    <w:r>
      <w:drawing>
        <wp:anchor distT="0" distB="0" distL="0" distR="0" simplePos="0" allowOverlap="1" behindDoc="1" locked="0" layoutInCell="1" relativeHeight="1190625">
          <wp:simplePos x="0" y="0"/>
          <wp:positionH relativeFrom="page">
            <wp:align>center</wp:align>
          </wp:positionH>
          <wp:positionV relativeFrom="page">
            <wp:align>center</wp:align>
          </wp:positionV>
          <wp:extent cx="5219700" cy="11906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219700" cy="11906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3e0989ba344b83a3cd5ada373155c6ac4430dc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3e0989ba344b83a3cd5ada373155c6ac4430dcd.png"/><Relationship Id="rId1" Type="http://schemas.openxmlformats.org/officeDocument/2006/relationships/image" Target="media/bf5121a7b7116315fc971d9aae4a8f9d37f8e4b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MiliPay — Investor Brief and Diligence Q&amp;A</dc:title>
  <dc:creator>MiliPay</dc:creator>
  <dc:description>BUS-002 · Version 1.0 · Confidential</dc:description>
  <cp:lastModifiedBy>Un-named</cp:lastModifiedBy>
  <cp:revision>1</cp:revision>
  <dcterms:created xsi:type="dcterms:W3CDTF">2026-09-20T11:40:07.329Z</dcterms:created>
  <dcterms:modified xsi:type="dcterms:W3CDTF">2026-09-20T11:40:07.329Z</dcterms:modified>
</cp:coreProperties>
</file>

<file path=docProps/custom.xml><?xml version="1.0" encoding="utf-8"?>
<Properties xmlns="http://schemas.openxmlformats.org/officeDocument/2006/custom-properties" xmlns:vt="http://schemas.openxmlformats.org/officeDocument/2006/docPropsVTypes"/>
</file>