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Documentation</w:t>
      </w:r>
      <w:r>
        <w:rPr>
          <w:rFonts w:ascii="Arial" w:cs="Arial" w:eastAsia="Arial" w:hAnsi="Arial"/>
          <w:b/>
          <w:bCs/>
          <w:color w:val="263E4F"/>
          <w:sz w:val="52"/>
          <w:szCs w:val="52"/>
        </w:rPr>
        <w:br/>
        <w:t xml:space="preserve">Index</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The thirteen documents that make up the MiliPay documentation set: what each one is for, who it is written for, and where to start.</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DOC-000</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2.0</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20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w:t>
      </w:r>
    </w:p>
    <w:p>
      <w:r>
        <w:br w:type="page"/>
      </w:r>
    </w:p>
    <w:p>
      <w:pPr>
        <w:pBdr>
          <w:bottom w:val="single" w:color="1C9E63" w:sz="6" w:space="6"/>
        </w:pBdr>
        <w:spacing w:after="200" w:before="420"/>
      </w:pPr>
      <w:r>
        <w:rPr>
          <w:rFonts w:ascii="Arial" w:cs="Arial" w:eastAsia="Arial" w:hAnsi="Arial"/>
          <w:b/>
          <w:bCs/>
          <w:color w:val="263E4F"/>
          <w:sz w:val="26"/>
          <w:szCs w:val="26"/>
        </w:rPr>
        <w:t xml:space="preserve">What this set is</w:t>
      </w:r>
    </w:p>
    <w:p>
      <w:pPr>
        <w:spacing w:after="160" w:line="276"/>
        <w:jc w:val="both"/>
      </w:pPr>
      <w:r>
        <w:rPr>
          <w:rFonts w:ascii="Georgia" w:cs="Georgia" w:eastAsia="Georgia" w:hAnsi="Georgia"/>
          <w:color w:val="232B31"/>
          <w:sz w:val="21"/>
          <w:szCs w:val="21"/>
        </w:rPr>
        <w:t xml:space="preserve">Thirteen documents covering the engineering, product, commercial and legal position of MiliPay as at 20 September 2026. All of them are written from a direct read of the repository and the project rules rather than from intention, and where the code and the ambition differ, they record the code.</w:t>
      </w:r>
    </w:p>
    <w:p>
      <w:pPr>
        <w:spacing w:after="160" w:line="276"/>
        <w:jc w:val="both"/>
      </w:pPr>
      <w:r>
        <w:rPr>
          <w:rFonts w:ascii="Georgia" w:cs="Georgia" w:eastAsia="Georgia" w:hAnsi="Georgia"/>
          <w:color w:val="232B31"/>
          <w:sz w:val="21"/>
          <w:szCs w:val="21"/>
        </w:rPr>
        <w:t xml:space="preserve">This is the second issue. The first, dated 19 September, was superseded within a day: a substantial security hardening migration and a set of shared Edge Function modules landed on the 20th and closed most of what the first issue listed as defects. Every document here reflects the platform after that work.</w:t>
      </w:r>
    </w:p>
    <w:p>
      <w:pPr>
        <w:pBdr>
          <w:bottom w:val="single" w:color="1C9E63" w:sz="6" w:space="6"/>
        </w:pBdr>
        <w:spacing w:after="200" w:before="420"/>
      </w:pPr>
      <w:r>
        <w:rPr>
          <w:rFonts w:ascii="Arial" w:cs="Arial" w:eastAsia="Arial" w:hAnsi="Arial"/>
          <w:b/>
          <w:bCs/>
          <w:color w:val="263E4F"/>
          <w:sz w:val="26"/>
          <w:szCs w:val="26"/>
        </w:rPr>
        <w:t xml:space="preserve">Where to start</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2600"/>
        <w:gridCol w:w="6470"/>
      </w:tblGrid>
      <w:tr>
        <w:trPr>
          <w:tblHeader/>
        </w:trPr>
        <w:tc>
          <w:tcPr>
            <w:tcW w:type="dxa" w:w="26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If you are…</w:t>
            </w:r>
          </w:p>
        </w:tc>
        <w:tc>
          <w:tcPr>
            <w:tcW w:type="dxa" w:w="6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Read, in this order</w:t>
            </w:r>
          </w:p>
        </w:tc>
      </w:tr>
      <w:tr>
        <w:tc>
          <w:tcPr>
            <w:tcW w:type="dxa" w:w="26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 new engineer</w:t>
            </w:r>
          </w:p>
        </w:tc>
        <w:tc>
          <w:tcPr>
            <w:tcW w:type="dxa" w:w="6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ENG-004, then ENG-001, then ENG-002, then ENG-006</w:t>
            </w:r>
          </w:p>
        </w:tc>
      </w:tr>
      <w:tr>
        <w:tc>
          <w:tcPr>
            <w:tcW w:type="dxa" w:w="26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An investor or accelerator</w:t>
            </w:r>
          </w:p>
        </w:tc>
        <w:tc>
          <w:tcPr>
            <w:tcW w:type="dxa" w:w="6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BUS-002, then BUS-001, then ENG-006 if you want the honest technical position</w:t>
            </w:r>
          </w:p>
        </w:tc>
      </w:tr>
      <w:tr>
        <w:tc>
          <w:tcPr>
            <w:tcW w:type="dxa" w:w="26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Doing technical diligence</w:t>
            </w:r>
          </w:p>
        </w:tc>
        <w:tc>
          <w:tcPr>
            <w:tcW w:type="dxa" w:w="6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ENG-006 first — it is the defect list. Then ENG-002 and ENG-003</w:t>
            </w:r>
          </w:p>
        </w:tc>
      </w:tr>
      <w:tr>
        <w:tc>
          <w:tcPr>
            <w:tcW w:type="dxa" w:w="26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 prospective bank or switch partner</w:t>
            </w:r>
          </w:p>
        </w:tc>
        <w:tc>
          <w:tcPr>
            <w:tcW w:type="dxa" w:w="6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PRD-001 and ENG-002, particularly the access control and data handling sections</w:t>
            </w:r>
          </w:p>
        </w:tc>
      </w:tr>
      <w:tr>
        <w:tc>
          <w:tcPr>
            <w:tcW w:type="dxa" w:w="26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Handling a live incident</w:t>
            </w:r>
          </w:p>
        </w:tc>
        <w:tc>
          <w:tcPr>
            <w:tcW w:type="dxa" w:w="6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ENG-005. It is written to be read at two in the morning</w:t>
            </w:r>
          </w:p>
        </w:tc>
      </w:tr>
      <w:tr>
        <w:tc>
          <w:tcPr>
            <w:tcW w:type="dxa" w:w="26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Sending a document to a third party</w:t>
            </w:r>
          </w:p>
        </w:tc>
        <w:tc>
          <w:tcPr>
            <w:tcW w:type="dxa" w:w="6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LEG-001 first, before the conversation, not after</w:t>
            </w:r>
          </w:p>
        </w:tc>
      </w:tr>
    </w:tbl>
    <w:p>
      <w:pPr>
        <w:pBdr>
          <w:bottom w:val="single" w:color="1C9E63" w:sz="6" w:space="6"/>
        </w:pBdr>
        <w:spacing w:after="200" w:before="420"/>
      </w:pPr>
      <w:r>
        <w:rPr>
          <w:rFonts w:ascii="Arial" w:cs="Arial" w:eastAsia="Arial" w:hAnsi="Arial"/>
          <w:b/>
          <w:bCs/>
          <w:color w:val="263E4F"/>
          <w:sz w:val="26"/>
          <w:szCs w:val="26"/>
        </w:rPr>
        <w:t xml:space="preserve">01  Engineering</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1100"/>
        <w:gridCol w:w="2500"/>
        <w:gridCol w:w="5470"/>
      </w:tblGrid>
      <w:tr>
        <w:trPr>
          <w:tblHeader/>
        </w:trPr>
        <w:tc>
          <w:tcPr>
            <w:tcW w:type="dxa" w:w="11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ID</w:t>
            </w:r>
          </w:p>
        </w:tc>
        <w:tc>
          <w:tcPr>
            <w:tcW w:type="dxa" w:w="25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Title</w:t>
            </w:r>
          </w:p>
        </w:tc>
        <w:tc>
          <w:tcPr>
            <w:tcW w:type="dxa" w:w="5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What it is for</w:t>
            </w:r>
          </w:p>
        </w:tc>
      </w:tr>
      <w:tr>
        <w:tc>
          <w:tcPr>
            <w:tcW w:type="dxa" w:w="1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ENG-001</w:t>
            </w:r>
          </w:p>
        </w:tc>
        <w:tc>
          <w:tcPr>
            <w:tcW w:type="dxa" w:w="2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System Architecture</w:t>
            </w:r>
          </w:p>
        </w:tc>
        <w:tc>
          <w:tcPr>
            <w:tcW w:type="dxa" w:w="5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The shape of the platform: hardware tiers, the four portals and shared monorepo, the nine Edge Functions, the sovereign matcher, and the two financial rails</w:t>
            </w:r>
          </w:p>
        </w:tc>
      </w:tr>
      <w:tr>
        <w:tc>
          <w:tcPr>
            <w:tcW w:type="dxa" w:w="11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ENG-002</w:t>
            </w:r>
          </w:p>
        </w:tc>
        <w:tc>
          <w:tcPr>
            <w:tcW w:type="dxa" w:w="25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Data Model and Security</w:t>
            </w:r>
          </w:p>
        </w:tc>
        <w:tc>
          <w:tcPr>
            <w:tcW w:type="dxa" w:w="5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Tables, relationships, the role-access matrix, column-level grants, and where the schema asserts a control it does not implement</w:t>
            </w:r>
          </w:p>
        </w:tc>
      </w:tr>
      <w:tr>
        <w:tc>
          <w:tcPr>
            <w:tcW w:type="dxa" w:w="1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ENG-003</w:t>
            </w:r>
          </w:p>
        </w:tc>
        <w:tc>
          <w:tcPr>
            <w:tcW w:type="dxa" w:w="2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Backend API Reference</w:t>
            </w:r>
          </w:p>
        </w:tc>
        <w:tc>
          <w:tcPr>
            <w:tcW w:type="dxa" w:w="5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Every Edge Function and database routine: inputs, outputs, refusals, and the full error code index</w:t>
            </w:r>
          </w:p>
        </w:tc>
      </w:tr>
      <w:tr>
        <w:tc>
          <w:tcPr>
            <w:tcW w:type="dxa" w:w="11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ENG-004</w:t>
            </w:r>
          </w:p>
        </w:tc>
        <w:tc>
          <w:tcPr>
            <w:tcW w:type="dxa" w:w="25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Developer Onboarding</w:t>
            </w:r>
          </w:p>
        </w:tc>
        <w:tc>
          <w:tcPr>
            <w:tcW w:type="dxa" w:w="5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First week: local setup, the non-negotiable rules, and the mistakes already made once in this codebase</w:t>
            </w:r>
          </w:p>
        </w:tc>
      </w:tr>
      <w:tr>
        <w:tc>
          <w:tcPr>
            <w:tcW w:type="dxa" w:w="1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ENG-005</w:t>
            </w:r>
          </w:p>
        </w:tc>
        <w:tc>
          <w:tcPr>
            <w:tcW w:type="dxa" w:w="2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Deployment and Operations Runbook</w:t>
            </w:r>
          </w:p>
        </w:tc>
        <w:tc>
          <w:tcPr>
            <w:tcW w:type="dxa" w:w="5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Hosting topology, configuration, monitoring signals, incident response, offboarding</w:t>
            </w:r>
          </w:p>
        </w:tc>
      </w:tr>
      <w:tr>
        <w:tc>
          <w:tcPr>
            <w:tcW w:type="dxa" w:w="11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ENG-006</w:t>
            </w:r>
          </w:p>
        </w:tc>
        <w:tc>
          <w:tcPr>
            <w:tcW w:type="dxa" w:w="25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Technical Debt Register</w:t>
            </w:r>
          </w:p>
        </w:tc>
        <w:tc>
          <w:tcPr>
            <w:tcW w:type="dxa" w:w="5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What is broken, what has been fixed, and what must be true before real biometrics are captured</w:t>
            </w:r>
          </w:p>
        </w:tc>
      </w:tr>
    </w:tbl>
    <w:p>
      <w:pPr>
        <w:pBdr>
          <w:bottom w:val="single" w:color="1C9E63" w:sz="6" w:space="6"/>
        </w:pBdr>
        <w:spacing w:after="200" w:before="420"/>
      </w:pPr>
      <w:r>
        <w:rPr>
          <w:rFonts w:ascii="Arial" w:cs="Arial" w:eastAsia="Arial" w:hAnsi="Arial"/>
          <w:b/>
          <w:bCs/>
          <w:color w:val="263E4F"/>
          <w:sz w:val="26"/>
          <w:szCs w:val="26"/>
        </w:rPr>
        <w:t xml:space="preserve">02  Product and Business</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1100"/>
        <w:gridCol w:w="2500"/>
        <w:gridCol w:w="5470"/>
      </w:tblGrid>
      <w:tr>
        <w:trPr>
          <w:tblHeader/>
        </w:trPr>
        <w:tc>
          <w:tcPr>
            <w:tcW w:type="dxa" w:w="11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ID</w:t>
            </w:r>
          </w:p>
        </w:tc>
        <w:tc>
          <w:tcPr>
            <w:tcW w:type="dxa" w:w="25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Title</w:t>
            </w:r>
          </w:p>
        </w:tc>
        <w:tc>
          <w:tcPr>
            <w:tcW w:type="dxa" w:w="5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What it is for</w:t>
            </w:r>
          </w:p>
        </w:tc>
      </w:tr>
      <w:tr>
        <w:tc>
          <w:tcPr>
            <w:tcW w:type="dxa" w:w="1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PRD-001</w:t>
            </w:r>
          </w:p>
        </w:tc>
        <w:tc>
          <w:tcPr>
            <w:tcW w:type="dxa" w:w="2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Product Specification</w:t>
            </w:r>
          </w:p>
        </w:tc>
        <w:tc>
          <w:tcPr>
            <w:tcW w:type="dxa" w:w="5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What the product does, for whom, under what limits, and which parts are specified but not built</w:t>
            </w:r>
          </w:p>
        </w:tc>
      </w:tr>
      <w:tr>
        <w:tc>
          <w:tcPr>
            <w:tcW w:type="dxa" w:w="11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BUS-001</w:t>
            </w:r>
          </w:p>
        </w:tc>
        <w:tc>
          <w:tcPr>
            <w:tcW w:type="dxa" w:w="25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Business Plan</w:t>
            </w:r>
          </w:p>
        </w:tc>
        <w:tc>
          <w:tcPr>
            <w:tcW w:type="dxa" w:w="5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Market, model, route to market, the three numbers that decide the business, and the risks</w:t>
            </w:r>
          </w:p>
        </w:tc>
      </w:tr>
      <w:tr>
        <w:tc>
          <w:tcPr>
            <w:tcW w:type="dxa" w:w="1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BUS-002</w:t>
            </w:r>
          </w:p>
        </w:tc>
        <w:tc>
          <w:tcPr>
            <w:tcW w:type="dxa" w:w="2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Investor Brief and Diligence Q&amp;A</w:t>
            </w:r>
          </w:p>
        </w:tc>
        <w:tc>
          <w:tcPr>
            <w:tcW w:type="dxa" w:w="5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The companion to the pitch deck. Send it when someone asks for detail after the deck</w:t>
            </w:r>
          </w:p>
        </w:tc>
      </w:tr>
    </w:tbl>
    <w:p>
      <w:pPr>
        <w:pBdr>
          <w:bottom w:val="single" w:color="1C9E63" w:sz="6" w:space="6"/>
        </w:pBdr>
        <w:spacing w:after="200" w:before="420"/>
      </w:pPr>
      <w:r>
        <w:rPr>
          <w:rFonts w:ascii="Arial" w:cs="Arial" w:eastAsia="Arial" w:hAnsi="Arial"/>
          <w:b/>
          <w:bCs/>
          <w:color w:val="263E4F"/>
          <w:sz w:val="26"/>
          <w:szCs w:val="26"/>
        </w:rPr>
        <w:t xml:space="preserve">03  Legal</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1100"/>
        <w:gridCol w:w="2500"/>
        <w:gridCol w:w="5470"/>
      </w:tblGrid>
      <w:tr>
        <w:trPr>
          <w:tblHeader/>
        </w:trPr>
        <w:tc>
          <w:tcPr>
            <w:tcW w:type="dxa" w:w="11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ID</w:t>
            </w:r>
          </w:p>
        </w:tc>
        <w:tc>
          <w:tcPr>
            <w:tcW w:type="dxa" w:w="25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Title</w:t>
            </w:r>
          </w:p>
        </w:tc>
        <w:tc>
          <w:tcPr>
            <w:tcW w:type="dxa" w:w="5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What it is for</w:t>
            </w:r>
          </w:p>
        </w:tc>
      </w:tr>
      <w:tr>
        <w:tc>
          <w:tcPr>
            <w:tcW w:type="dxa" w:w="1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LEG-001</w:t>
            </w:r>
          </w:p>
        </w:tc>
        <w:tc>
          <w:tcPr>
            <w:tcW w:type="dxa" w:w="2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Mutual Non-Disclosure Agreement</w:t>
            </w:r>
          </w:p>
        </w:tc>
        <w:tc>
          <w:tcPr>
            <w:tcW w:type="dxa" w:w="5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Investors, vendors, bank and switch partners, merchant pilots, advisers</w:t>
            </w:r>
          </w:p>
        </w:tc>
      </w:tr>
      <w:tr>
        <w:tc>
          <w:tcPr>
            <w:tcW w:type="dxa" w:w="11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LEG-002</w:t>
            </w:r>
          </w:p>
        </w:tc>
        <w:tc>
          <w:tcPr>
            <w:tcW w:type="dxa" w:w="25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Founders Agreement</w:t>
            </w:r>
          </w:p>
        </w:tc>
        <w:tc>
          <w:tcPr>
            <w:tcW w:type="dxa" w:w="54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Ownership, roles, vesting, control, and what happens when a founder leaves</w:t>
            </w:r>
          </w:p>
        </w:tc>
      </w:tr>
      <w:tr>
        <w:tc>
          <w:tcPr>
            <w:tcW w:type="dxa" w:w="11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LEG-003</w:t>
            </w:r>
          </w:p>
        </w:tc>
        <w:tc>
          <w:tcPr>
            <w:tcW w:type="dxa" w:w="25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IP Assignment and Confidentiality Agreement</w:t>
            </w:r>
          </w:p>
        </w:tc>
        <w:tc>
          <w:tcPr>
            <w:tcW w:type="dxa" w:w="54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Everyone who creates anything for MiliPay and is not a party to LEG-002</w:t>
            </w:r>
          </w:p>
        </w:tc>
      </w:tr>
    </w:tbl>
    <w:p>
      <w:pPr>
        <w:spacing w:after="200"/>
      </w:pP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All three are templates and none has been reviewed by a lawyer.  </w:t>
      </w:r>
      <w:r>
        <w:rPr>
          <w:rFonts w:ascii="Georgia" w:cs="Georgia" w:eastAsia="Georgia" w:hAnsi="Georgia"/>
          <w:i/>
          <w:iCs/>
          <w:color w:val="46525A"/>
          <w:sz w:val="19"/>
          <w:szCs w:val="19"/>
        </w:rPr>
        <w:t xml:space="preserve">They exist so that engaging a Nigerian lawyer is a review exercise rather than a drafting exercise, which is faster and cheaper. None should be signed in its current form for anything that matters. Executed copies belong in an Executed subfolder, not alongside the blanks.</w:t>
      </w:r>
    </w:p>
    <w:p>
      <w:pPr>
        <w:pBdr>
          <w:bottom w:val="single" w:color="1C9E63" w:sz="6" w:space="6"/>
        </w:pBdr>
        <w:spacing w:after="200" w:before="420"/>
      </w:pPr>
      <w:r>
        <w:rPr>
          <w:rFonts w:ascii="Arial" w:cs="Arial" w:eastAsia="Arial" w:hAnsi="Arial"/>
          <w:b/>
          <w:bCs/>
          <w:color w:val="263E4F"/>
          <w:sz w:val="26"/>
          <w:szCs w:val="26"/>
        </w:rPr>
        <w:t xml:space="preserve">The three things that matter most in this set</w:t>
      </w:r>
    </w:p>
    <w:p>
      <w:pPr>
        <w:spacing w:after="120" w:before="300"/>
      </w:pPr>
      <w:r>
        <w:rPr>
          <w:rFonts w:ascii="Arial" w:cs="Arial" w:eastAsia="Arial" w:hAnsi="Arial"/>
          <w:b/>
          <w:bCs/>
          <w:color w:val="263E4F"/>
          <w:sz w:val="22"/>
          <w:szCs w:val="22"/>
        </w:rPr>
        <w:t xml:space="preserve">1. Two gaps block the pilot</w:t>
      </w:r>
    </w:p>
    <w:p>
      <w:pPr>
        <w:spacing w:after="160" w:line="276"/>
        <w:jc w:val="both"/>
      </w:pPr>
      <w:r>
        <w:rPr>
          <w:rFonts w:ascii="Georgia" w:cs="Georgia" w:eastAsia="Georgia" w:hAnsi="Georgia"/>
          <w:color w:val="232B31"/>
          <w:sz w:val="21"/>
          <w:szCs w:val="21"/>
        </w:rPr>
        <w:t xml:space="preserve">The palm matching service does not exist in the repository, and no money moves. Everything around both is built and works. ENG-006 items TD-13 and TD-14.</w:t>
      </w:r>
    </w:p>
    <w:p>
      <w:pPr>
        <w:spacing w:after="120" w:before="300"/>
      </w:pPr>
      <w:r>
        <w:rPr>
          <w:rFonts w:ascii="Arial" w:cs="Arial" w:eastAsia="Arial" w:hAnsi="Arial"/>
          <w:b/>
          <w:bCs/>
          <w:color w:val="263E4F"/>
          <w:sz w:val="22"/>
          <w:szCs w:val="22"/>
        </w:rPr>
        <w:t xml:space="preserve">2. One gate should not move for a deadline</w:t>
      </w:r>
    </w:p>
    <w:p>
      <w:pPr>
        <w:spacing w:after="160" w:line="276"/>
        <w:jc w:val="both"/>
      </w:pPr>
      <w:r>
        <w:rPr>
          <w:rFonts w:ascii="Georgia" w:cs="Georgia" w:eastAsia="Georgia" w:hAnsi="Georgia"/>
          <w:color w:val="232B31"/>
          <w:sz w:val="21"/>
          <w:szCs w:val="21"/>
        </w:rPr>
        <w:t xml:space="preserve">Biometric templates are not encrypted above the database layer and there is no access audit log. Both must close, and an independent security review must pass, before a single real customer palm is captured. Every other gap in this set costs money or time. This one costs a person their biometric identity, and a palm cannot be reissued.</w:t>
      </w:r>
    </w:p>
    <w:p>
      <w:pPr>
        <w:spacing w:after="120" w:before="300"/>
      </w:pPr>
      <w:r>
        <w:rPr>
          <w:rFonts w:ascii="Arial" w:cs="Arial" w:eastAsia="Arial" w:hAnsi="Arial"/>
          <w:b/>
          <w:bCs/>
          <w:color w:val="263E4F"/>
          <w:sz w:val="22"/>
          <w:szCs w:val="22"/>
        </w:rPr>
        <w:t xml:space="preserve">3. Two documents make claims that need correcting</w:t>
      </w:r>
    </w:p>
    <w:p>
      <w:pPr>
        <w:spacing w:after="160" w:line="276"/>
        <w:jc w:val="both"/>
      </w:pPr>
      <w:r>
        <w:rPr>
          <w:rFonts w:ascii="Georgia" w:cs="Georgia" w:eastAsia="Georgia" w:hAnsi="Georgia"/>
          <w:color w:val="232B31"/>
          <w:sz w:val="21"/>
          <w:szCs w:val="21"/>
        </w:rPr>
        <w:t xml:space="preserve">The repository README carries an “NDPA &amp; CBN Certified” badge for a certification that has not been obtained or applied for. The initial database migration annotates three columns as encrypted at the application layer when the enrolment path writes them in the clear. Both are small edits and both are the kind of thing that costs credibility disproportionately when someone else finds them first.</w:t>
      </w:r>
    </w:p>
    <w:p>
      <w:pPr>
        <w:pBdr>
          <w:bottom w:val="single" w:color="1C9E63" w:sz="6" w:space="6"/>
        </w:pBdr>
        <w:spacing w:after="200" w:before="420"/>
      </w:pPr>
      <w:r>
        <w:rPr>
          <w:rFonts w:ascii="Arial" w:cs="Arial" w:eastAsia="Arial" w:hAnsi="Arial"/>
          <w:b/>
          <w:bCs/>
          <w:color w:val="263E4F"/>
          <w:sz w:val="26"/>
          <w:szCs w:val="26"/>
        </w:rPr>
        <w:t xml:space="preserve">Maintaining this set</w:t>
      </w:r>
    </w:p>
    <w:p>
      <w:pPr>
        <w:spacing w:after="160" w:line="276"/>
        <w:jc w:val="both"/>
      </w:pPr>
      <w:r>
        <w:rPr>
          <w:rFonts w:ascii="Georgia" w:cs="Georgia" w:eastAsia="Georgia" w:hAnsi="Georgia"/>
          <w:color w:val="232B31"/>
          <w:sz w:val="21"/>
          <w:szCs w:val="21"/>
        </w:rPr>
        <w:t xml:space="preserve">These documents were accurate on the day they were written and the platform moved materially within twenty-four hours of the first issue. Treat any document here as stale the moment a migration lands or an Edge Function changes behaviour.</w:t>
      </w:r>
    </w:p>
    <w:p>
      <w:pPr>
        <w:spacing w:after="160" w:line="276"/>
        <w:jc w:val="both"/>
      </w:pPr>
      <w:r>
        <w:rPr>
          <w:rFonts w:ascii="Georgia" w:cs="Georgia" w:eastAsia="Georgia" w:hAnsi="Georgia"/>
          <w:color w:val="232B31"/>
          <w:sz w:val="21"/>
          <w:szCs w:val="21"/>
        </w:rPr>
        <w:t xml:space="preserve">The cheapest discipline is to update ENG-006 in the same change that closes an item in it, and to re-read ENG-002 whenever a migration touches policies or grants. The rest can be revisited quarterly, or when someone outside the company is about to read them.</w:t>
      </w:r>
    </w:p>
    <w:p>
      <w:pPr>
        <w:spacing w:after="160" w:line="276"/>
        <w:jc w:val="both"/>
      </w:pPr>
      <w:r>
        <w:rPr>
          <w:rFonts w:ascii="Georgia" w:cs="Georgia" w:eastAsia="Georgia" w:hAnsi="Georgia"/>
          <w:color w:val="232B31"/>
          <w:sz w:val="21"/>
          <w:szCs w:val="21"/>
        </w:rPr>
        <w:t xml:space="preserve">Every document in this set is produced in the MiliPay house template — letterhead, watermark, page numbering and the brand colours taken from the logo artwork itself — so that anything sent outside the company looks like it came from one organisation.</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MiliPay documentation set, second issue, 20 September 2026. Thirteen documents. Prepared from a direct read of the BioPay repository, the project rules in GEMINI.md, and secondary market reporting requiring primary verification before external circulation.</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Documentation Index</dc:title>
  <dc:creator>MiliPay</dc:creator>
  <dc:description>DOC-000 · Version 2.0 · Confidential</dc:description>
  <cp:lastModifiedBy>Un-named</cp:lastModifiedBy>
  <cp:revision>1</cp:revision>
  <dcterms:created xsi:type="dcterms:W3CDTF">2026-09-20T12:07:12.700Z</dcterms:created>
  <dcterms:modified xsi:type="dcterms:W3CDTF">2026-09-20T12:07:12.701Z</dcterms:modified>
</cp:coreProperties>
</file>

<file path=docProps/custom.xml><?xml version="1.0" encoding="utf-8"?>
<Properties xmlns="http://schemas.openxmlformats.org/officeDocument/2006/custom-properties" xmlns:vt="http://schemas.openxmlformats.org/officeDocument/2006/docPropsVTypes"/>
</file>