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900"/>
      </w:pPr>
      <w:r>
        <w:drawing>
          <wp:inline distT="0" distB="0" distL="0" distR="0">
            <wp:extent cx="22288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28850" cy="504825"/>
                    </a:xfrm>
                    <a:prstGeom prst="rect">
                      <a:avLst/>
                    </a:prstGeom>
                  </pic:spPr>
                </pic:pic>
              </a:graphicData>
            </a:graphic>
          </wp:inline>
        </w:drawing>
      </w:r>
    </w:p>
    <w:p>
      <w:pPr>
        <w:spacing w:after="140" w:line="400"/>
      </w:pPr>
      <w:r>
        <w:rPr>
          <w:rFonts w:ascii="Arial" w:cs="Arial" w:eastAsia="Arial" w:hAnsi="Arial"/>
          <w:b/>
          <w:bCs/>
          <w:color w:val="263E4F"/>
          <w:sz w:val="52"/>
          <w:szCs w:val="52"/>
        </w:rPr>
        <w:t xml:space="preserve">System</w:t>
      </w:r>
      <w:r>
        <w:rPr>
          <w:rFonts w:ascii="Arial" w:cs="Arial" w:eastAsia="Arial" w:hAnsi="Arial"/>
          <w:b/>
          <w:bCs/>
          <w:color w:val="263E4F"/>
          <w:sz w:val="52"/>
          <w:szCs w:val="52"/>
        </w:rPr>
        <w:br/>
        <w:t xml:space="preserve">Architecture</w:t>
      </w:r>
    </w:p>
    <w:p>
      <w:pPr>
        <w:pBdr>
          <w:bottom w:val="single" w:color="1C9E63" w:sz="12" w:space="10"/>
        </w:pBdr>
        <w:spacing w:after="520"/>
      </w:pPr>
    </w:p>
    <w:p>
      <w:pPr>
        <w:spacing w:after="520"/>
      </w:pPr>
      <w:r>
        <w:rPr>
          <w:rFonts w:ascii="Georgia" w:cs="Georgia" w:eastAsia="Georgia" w:hAnsi="Georgia"/>
          <w:i/>
          <w:iCs/>
          <w:color w:val="3C474F"/>
          <w:sz w:val="22"/>
          <w:szCs w:val="22"/>
        </w:rPr>
        <w:t xml:space="preserve">How MiliPay is put together: the hardware tiers, the four portals, the shared monorepo, the Supabase backend, and the two external rails the platform depends on.</w:t>
      </w:r>
    </w:p>
    <w:p>
      <w:pPr>
        <w:spacing w:after="60"/>
      </w:pPr>
      <w:r>
        <w:rPr>
          <w:rFonts w:ascii="Arial" w:cs="Arial" w:eastAsia="Arial" w:hAnsi="Arial"/>
          <w:b/>
          <w:bCs/>
          <w:color w:val="6B7780"/>
          <w:spacing w:val="24"/>
          <w:sz w:val="15"/>
          <w:szCs w:val="15"/>
        </w:rPr>
        <w:t xml:space="preserve">DOCUMENT   </w:t>
      </w:r>
      <w:r>
        <w:rPr>
          <w:rFonts w:ascii="Arial" w:cs="Arial" w:eastAsia="Arial" w:hAnsi="Arial"/>
          <w:color w:val="263E4F"/>
          <w:sz w:val="18"/>
          <w:szCs w:val="18"/>
        </w:rPr>
        <w:t xml:space="preserve">ENG-001</w:t>
      </w:r>
    </w:p>
    <w:p>
      <w:pPr>
        <w:spacing w:after="60"/>
      </w:pPr>
      <w:r>
        <w:rPr>
          <w:rFonts w:ascii="Arial" w:cs="Arial" w:eastAsia="Arial" w:hAnsi="Arial"/>
          <w:b/>
          <w:bCs/>
          <w:color w:val="6B7780"/>
          <w:spacing w:val="24"/>
          <w:sz w:val="15"/>
          <w:szCs w:val="15"/>
        </w:rPr>
        <w:t xml:space="preserve">VERSION   </w:t>
      </w:r>
      <w:r>
        <w:rPr>
          <w:rFonts w:ascii="Arial" w:cs="Arial" w:eastAsia="Arial" w:hAnsi="Arial"/>
          <w:color w:val="263E4F"/>
          <w:sz w:val="18"/>
          <w:szCs w:val="18"/>
        </w:rPr>
        <w:t xml:space="preserve">2.0</w:t>
      </w:r>
    </w:p>
    <w:p>
      <w:pPr>
        <w:spacing w:after="60"/>
      </w:pPr>
      <w:r>
        <w:rPr>
          <w:rFonts w:ascii="Arial" w:cs="Arial" w:eastAsia="Arial" w:hAnsi="Arial"/>
          <w:b/>
          <w:bCs/>
          <w:color w:val="6B7780"/>
          <w:spacing w:val="24"/>
          <w:sz w:val="15"/>
          <w:szCs w:val="15"/>
        </w:rPr>
        <w:t xml:space="preserve">DATE   </w:t>
      </w:r>
      <w:r>
        <w:rPr>
          <w:rFonts w:ascii="Arial" w:cs="Arial" w:eastAsia="Arial" w:hAnsi="Arial"/>
          <w:color w:val="263E4F"/>
          <w:sz w:val="18"/>
          <w:szCs w:val="18"/>
        </w:rPr>
        <w:t xml:space="preserve">20 September 2026</w:t>
      </w:r>
    </w:p>
    <w:p>
      <w:pPr>
        <w:spacing w:after="60"/>
      </w:pPr>
      <w:r>
        <w:rPr>
          <w:rFonts w:ascii="Arial" w:cs="Arial" w:eastAsia="Arial" w:hAnsi="Arial"/>
          <w:b/>
          <w:bCs/>
          <w:color w:val="6B7780"/>
          <w:spacing w:val="24"/>
          <w:sz w:val="15"/>
          <w:szCs w:val="15"/>
        </w:rPr>
        <w:t xml:space="preserve">CLASSIFICATION   </w:t>
      </w:r>
      <w:r>
        <w:rPr>
          <w:rFonts w:ascii="Arial" w:cs="Arial" w:eastAsia="Arial" w:hAnsi="Arial"/>
          <w:color w:val="263E4F"/>
          <w:sz w:val="18"/>
          <w:szCs w:val="18"/>
        </w:rPr>
        <w:t xml:space="preserve">Confidential</w:t>
      </w:r>
    </w:p>
    <w:p>
      <w:r>
        <w:br w:type="page"/>
      </w:r>
    </w:p>
    <w:p>
      <w:pPr>
        <w:pBdr>
          <w:bottom w:val="single" w:color="1C9E63" w:sz="6" w:space="6"/>
        </w:pBdr>
        <w:spacing w:after="200" w:before="420"/>
      </w:pPr>
      <w:r>
        <w:rPr>
          <w:rFonts w:ascii="Arial" w:cs="Arial" w:eastAsia="Arial" w:hAnsi="Arial"/>
          <w:b/>
          <w:bCs/>
          <w:color w:val="263E4F"/>
          <w:sz w:val="26"/>
          <w:szCs w:val="26"/>
        </w:rPr>
        <w:t xml:space="preserve">Purpose and scope</w:t>
      </w:r>
    </w:p>
    <w:p>
      <w:pPr>
        <w:spacing w:after="160" w:line="276"/>
        <w:jc w:val="both"/>
      </w:pPr>
      <w:r>
        <w:rPr>
          <w:rFonts w:ascii="Georgia" w:cs="Georgia" w:eastAsia="Georgia" w:hAnsi="Georgia"/>
          <w:color w:val="232B31"/>
          <w:sz w:val="21"/>
          <w:szCs w:val="21"/>
        </w:rPr>
        <w:t xml:space="preserve">This document describes the system as it exists in the repository on 20 September 2026, not as it is intended to exist. Where a component is specified but not implemented, that is stated in place rather than left to inference. ENG-006 carries the full defect and debt register; this document carries the shape of the system.</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A note on the README.  </w:t>
      </w:r>
      <w:r>
        <w:rPr>
          <w:rFonts w:ascii="Georgia" w:cs="Georgia" w:eastAsia="Georgia" w:hAnsi="Georgia"/>
          <w:i/>
          <w:iCs/>
          <w:color w:val="46525A"/>
          <w:sz w:val="19"/>
          <w:szCs w:val="19"/>
        </w:rPr>
        <w:t xml:space="preserve">The repository README describes MiliPay as “NDPA &amp; CBN Certified” and “100% compliant”. No such certification has been obtained, and no regulatory approval has been applied for. That badge is aspirational and should be removed before the repository is shown to anyone outside the company. This document uses the actual position throughout.</w:t>
      </w:r>
    </w:p>
    <w:p>
      <w:pPr>
        <w:pBdr>
          <w:bottom w:val="single" w:color="1C9E63" w:sz="6" w:space="6"/>
        </w:pBdr>
        <w:spacing w:after="200" w:before="420"/>
      </w:pPr>
      <w:r>
        <w:rPr>
          <w:rFonts w:ascii="Arial" w:cs="Arial" w:eastAsia="Arial" w:hAnsi="Arial"/>
          <w:b/>
          <w:bCs/>
          <w:color w:val="263E4F"/>
          <w:sz w:val="26"/>
          <w:szCs w:val="26"/>
        </w:rPr>
        <w:t xml:space="preserve">The system in one paragraph</w:t>
      </w:r>
    </w:p>
    <w:p>
      <w:pPr>
        <w:spacing w:after="220" w:line="288"/>
      </w:pPr>
      <w:r>
        <w:rPr>
          <w:rFonts w:ascii="Georgia" w:cs="Georgia" w:eastAsia="Georgia" w:hAnsi="Georgia"/>
          <w:color w:val="263E4F"/>
          <w:sz w:val="24"/>
          <w:szCs w:val="24"/>
        </w:rPr>
        <w:t xml:space="preserve">A customer enrols once in person with a field agent, who verifies their NIN and captures a palm vein template. At a participating shop the attendant enters an amount on a certified POS terminal, the customer presents a palm, and the terminal sends the extracted feature to a Supabase Edge Function. That function identifies the customer through a sovereign matching service, applies KYC tier limits and a PIN challenge, records the transaction, and returns a receipt. Settlement is intended to run through Mono DirectPay with a 98.5 / 1.5 split. MiliPay never takes custody of customer funds.</w:t>
      </w:r>
    </w:p>
    <w:p>
      <w:pPr>
        <w:pBdr>
          <w:bottom w:val="single" w:color="1C9E63" w:sz="6" w:space="6"/>
        </w:pBdr>
        <w:spacing w:after="200" w:before="420"/>
      </w:pPr>
      <w:r>
        <w:rPr>
          <w:rFonts w:ascii="Arial" w:cs="Arial" w:eastAsia="Arial" w:hAnsi="Arial"/>
          <w:b/>
          <w:bCs/>
          <w:color w:val="263E4F"/>
          <w:sz w:val="26"/>
          <w:szCs w:val="26"/>
        </w:rPr>
        <w:t xml:space="preserve">Layers</w:t>
      </w:r>
    </w:p>
    <w:p>
      <w:pPr>
        <w:spacing w:after="120" w:before="300"/>
      </w:pPr>
      <w:r>
        <w:rPr>
          <w:rFonts w:ascii="Arial" w:cs="Arial" w:eastAsia="Arial" w:hAnsi="Arial"/>
          <w:b/>
          <w:bCs/>
          <w:color w:val="263E4F"/>
          <w:sz w:val="22"/>
          <w:szCs w:val="22"/>
        </w:rPr>
        <w:t xml:space="preserve">1. Hardware tier</w:t>
      </w:r>
    </w:p>
    <w:p>
      <w:pPr>
        <w:spacing w:after="160" w:line="276"/>
        <w:jc w:val="both"/>
      </w:pPr>
      <w:r>
        <w:rPr>
          <w:rFonts w:ascii="Georgia" w:cs="Georgia" w:eastAsia="Georgia" w:hAnsi="Georgia"/>
          <w:color w:val="232B31"/>
          <w:sz w:val="21"/>
          <w:szCs w:val="21"/>
        </w:rPr>
        <w:t xml:space="preserve">All biometric capture hardware is from the HFSecurity ecosystem. Devices are chosen per role rather than uniformly, because certification requirements differ sharply between field enrolment and retail checkout.</w:t>
      </w:r>
    </w:p>
    <w:p>
      <w:pPr>
        <w:spacing w:after="120"/>
      </w:pPr>
    </w:p>
    <w:tbl>
      <w:tblPr>
        <w:tblW w:type="dxa" w:w="9070"/>
        <w:tblBorders>
          <w:top w:val="single" w:color="D8DDE1" w:sz="2"/>
          <w:left w:val="none" w:color="FFFFFF" w:sz="0"/>
          <w:bottom w:val="single" w:color="D8DDE1" w:sz="2"/>
          <w:right w:val="none" w:color="FFFFFF" w:sz="0"/>
          <w:insideH w:val="single" w:color="D8DDE1" w:sz="2"/>
          <w:insideV w:val="none" w:color="FFFFFF" w:sz="0"/>
        </w:tblBorders>
      </w:tblPr>
      <w:tblGrid>
        <w:gridCol w:w="1900"/>
        <w:gridCol w:w="2100"/>
        <w:gridCol w:w="5070"/>
      </w:tblGrid>
      <w:tr>
        <w:trPr>
          <w:tblHeader/>
        </w:trPr>
        <w:tc>
          <w:tcPr>
            <w:tcW w:type="dxa" w:w="19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Device</w:t>
            </w:r>
          </w:p>
        </w:tc>
        <w:tc>
          <w:tcPr>
            <w:tcW w:type="dxa" w:w="21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Role</w:t>
            </w:r>
          </w:p>
        </w:tc>
        <w:tc>
          <w:tcPr>
            <w:tcW w:type="dxa" w:w="507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Why this device</w:t>
            </w:r>
          </w:p>
        </w:tc>
      </w:tr>
      <w:tr>
        <w:tc>
          <w:tcPr>
            <w:tcW w:type="dxa" w:w="19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HF-FP08PV</w:t>
            </w:r>
          </w:p>
        </w:tc>
        <w:tc>
          <w:tcPr>
            <w:tcW w:type="dxa" w:w="21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Field agent enrolment</w:t>
            </w:r>
          </w:p>
        </w:tc>
        <w:tc>
          <w:tcPr>
            <w:tcW w:type="dxa" w:w="50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Rugged Android 13 handheld, IP65, 10,000mAh, 4G LTE, OCR/MRZ camera for NIN capture, integrated dual NIR/RGB palm scanner. Lets an agent enrol without carrying a laptop.</w:t>
            </w:r>
          </w:p>
        </w:tc>
      </w:tr>
      <w:tr>
        <w:tc>
          <w:tcPr>
            <w:tcW w:type="dxa" w:w="19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HF-VP930Pro</w:t>
            </w:r>
          </w:p>
        </w:tc>
        <w:tc>
          <w:tcPr>
            <w:tcW w:type="dxa" w:w="21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Development and benchmarking</w:t>
            </w:r>
          </w:p>
        </w:tc>
        <w:tc>
          <w:tcPr>
            <w:tcW w:type="dxa" w:w="50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Multi-OS USB-C module used for algorithm tuning and matching-engine benchmarks, not for production retail.</w:t>
            </w:r>
          </w:p>
        </w:tc>
      </w:tr>
      <w:tr>
        <w:tc>
          <w:tcPr>
            <w:tcW w:type="dxa" w:w="19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HF-HP605PV</w:t>
            </w:r>
          </w:p>
        </w:tc>
        <w:tc>
          <w:tcPr>
            <w:tcW w:type="dxa" w:w="21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Primary merchant POS</w:t>
            </w:r>
          </w:p>
        </w:tc>
        <w:tc>
          <w:tcPr>
            <w:tcW w:type="dxa" w:w="50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EMV and PCI-PTS certified, which is the reason it was selected. 6.0" display, 3000mAh, thermal printer, vendor-quoted recognition in 450ms or less.</w:t>
            </w:r>
          </w:p>
        </w:tc>
      </w:tr>
      <w:tr>
        <w:tc>
          <w:tcPr>
            <w:tcW w:type="dxa" w:w="19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HF-MP50</w:t>
            </w:r>
          </w:p>
        </w:tc>
        <w:tc>
          <w:tcPr>
            <w:tcW w:type="dxa" w:w="21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Secondary / budget POS</w:t>
            </w:r>
          </w:p>
        </w:tc>
        <w:tc>
          <w:tcPr>
            <w:tcW w:type="dxa" w:w="50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Android 11, 5.5" display, for tier-2 retail where EMV/PCI is not strictly enforced.</w:t>
            </w:r>
          </w:p>
        </w:tc>
      </w:tr>
      <w:tr>
        <w:tc>
          <w:tcPr>
            <w:tcW w:type="dxa" w:w="19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Desktop and floor kiosks</w:t>
            </w:r>
          </w:p>
        </w:tc>
        <w:tc>
          <w:tcPr>
            <w:tcW w:type="dxa" w:w="21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Future enterprise</w:t>
            </w:r>
          </w:p>
        </w:tc>
        <w:tc>
          <w:tcPr>
            <w:tcW w:type="dxa" w:w="50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Self-checkout for supermarket chains. Not yet specified in code.</w:t>
            </w:r>
          </w:p>
        </w:tc>
      </w:tr>
    </w:tbl>
    <w:p>
      <w:pPr>
        <w:spacing w:after="200"/>
      </w:pPr>
    </w:p>
    <w:p>
      <w:pPr>
        <w:spacing w:after="160" w:line="276"/>
        <w:jc w:val="both"/>
      </w:pPr>
      <w:r>
        <w:rPr>
          <w:rFonts w:ascii="Georgia" w:cs="Georgia" w:eastAsia="Georgia" w:hAnsi="Georgia"/>
          <w:color w:val="232B31"/>
          <w:sz w:val="21"/>
          <w:szCs w:val="21"/>
        </w:rPr>
        <w:t xml:space="preserve">Capture runs through an Android native bridge, PalmScannerModule.java, wrapping palm-android-sdk-v1.3.7.jar. The lifecycle is initialize, create device, open, create an RGB_IR stream, start. A capture yields irFeature and rgbFeature as raw byte arrays, a quality score, and a palm type flag. SDK feedback is mapped to on-screen guidance — palm not detected, too dark, over-exposed, still moving — and to the terminal LEDs: blue breathing during acquisition, green on approval, red on decline.</w:t>
      </w:r>
    </w:p>
    <w:p>
      <w:pPr>
        <w:spacing w:after="120" w:before="300"/>
      </w:pPr>
      <w:r>
        <w:rPr>
          <w:rFonts w:ascii="Arial" w:cs="Arial" w:eastAsia="Arial" w:hAnsi="Arial"/>
          <w:b/>
          <w:bCs/>
          <w:color w:val="263E4F"/>
          <w:sz w:val="22"/>
          <w:szCs w:val="22"/>
        </w:rPr>
        <w:t xml:space="preserve">2. Client applications</w:t>
      </w:r>
    </w:p>
    <w:p>
      <w:pPr>
        <w:spacing w:after="160" w:line="276"/>
        <w:jc w:val="both"/>
      </w:pPr>
      <w:r>
        <w:rPr>
          <w:rFonts w:ascii="Georgia" w:cs="Georgia" w:eastAsia="Georgia" w:hAnsi="Georgia"/>
          <w:color w:val="232B31"/>
          <w:sz w:val="21"/>
          <w:szCs w:val="21"/>
        </w:rPr>
        <w:t xml:space="preserve">Six front-end applications, five of them web, organised as npm workspaces over a single shared package.</w:t>
      </w:r>
    </w:p>
    <w:p>
      <w:pPr>
        <w:spacing w:after="120"/>
      </w:pPr>
    </w:p>
    <w:tbl>
      <w:tblPr>
        <w:tblW w:type="dxa" w:w="9070"/>
        <w:tblBorders>
          <w:top w:val="single" w:color="D8DDE1" w:sz="2"/>
          <w:left w:val="none" w:color="FFFFFF" w:sz="0"/>
          <w:bottom w:val="single" w:color="D8DDE1" w:sz="2"/>
          <w:right w:val="none" w:color="FFFFFF" w:sz="0"/>
          <w:insideH w:val="single" w:color="D8DDE1" w:sz="2"/>
          <w:insideV w:val="none" w:color="FFFFFF" w:sz="0"/>
        </w:tblBorders>
      </w:tblPr>
      <w:tblGrid>
        <w:gridCol w:w="2000"/>
        <w:gridCol w:w="700"/>
        <w:gridCol w:w="1900"/>
        <w:gridCol w:w="4470"/>
      </w:tblGrid>
      <w:tr>
        <w:trPr>
          <w:tblHeader/>
        </w:trPr>
        <w:tc>
          <w:tcPr>
            <w:tcW w:type="dxa" w:w="20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Application</w:t>
            </w:r>
          </w:p>
        </w:tc>
        <w:tc>
          <w:tcPr>
            <w:tcW w:type="dxa" w:w="7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Port</w:t>
            </w:r>
          </w:p>
        </w:tc>
        <w:tc>
          <w:tcPr>
            <w:tcW w:type="dxa" w:w="19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Role</w:t>
            </w:r>
          </w:p>
        </w:tc>
        <w:tc>
          <w:tcPr>
            <w:tcW w:type="dxa" w:w="447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Responsibility</w:t>
            </w:r>
          </w:p>
        </w:tc>
      </w:tr>
      <w:tr>
        <w:tc>
          <w:tcPr>
            <w:tcW w:type="dxa" w:w="20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AdminPanel</w:t>
            </w:r>
          </w:p>
        </w:tc>
        <w:tc>
          <w:tcPr>
            <w:tcW w:type="dxa" w:w="7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3000</w:t>
            </w:r>
          </w:p>
        </w:tc>
        <w:tc>
          <w:tcPr>
            <w:tcW w:type="dxa" w:w="19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admin, super_admin</w:t>
            </w:r>
          </w:p>
        </w:tc>
        <w:tc>
          <w:tcPr>
            <w:tcW w:type="dxa" w:w="4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KYB review, merchant approval and blacklisting, fleet management, settlement audit, escalated tickets</w:t>
            </w:r>
          </w:p>
        </w:tc>
      </w:tr>
      <w:tr>
        <w:tc>
          <w:tcPr>
            <w:tcW w:type="dxa" w:w="20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agent-portal</w:t>
            </w:r>
          </w:p>
        </w:tc>
        <w:tc>
          <w:tcPr>
            <w:tcW w:type="dxa" w:w="7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3001</w:t>
            </w:r>
          </w:p>
        </w:tc>
        <w:tc>
          <w:tcPr>
            <w:tcW w:type="dxa" w:w="19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agent</w:t>
            </w:r>
          </w:p>
        </w:tc>
        <w:tc>
          <w:tcPr>
            <w:tcW w:type="dxa" w:w="4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In-person customer enrolment, merchant registration, terminal pairing, walk-in complaints</w:t>
            </w:r>
          </w:p>
        </w:tc>
      </w:tr>
      <w:tr>
        <w:tc>
          <w:tcPr>
            <w:tcW w:type="dxa" w:w="20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service-portal</w:t>
            </w:r>
          </w:p>
        </w:tc>
        <w:tc>
          <w:tcPr>
            <w:tcW w:type="dxa" w:w="7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3002</w:t>
            </w:r>
          </w:p>
        </w:tc>
        <w:tc>
          <w:tcPr>
            <w:tcW w:type="dxa" w:w="19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support</w:t>
            </w:r>
          </w:p>
        </w:tc>
        <w:tc>
          <w:tcPr>
            <w:tcW w:type="dxa" w:w="4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Live chat from the mobile app, tier-1 resolution, tier-2 escalation</w:t>
            </w:r>
          </w:p>
        </w:tc>
      </w:tr>
      <w:tr>
        <w:tc>
          <w:tcPr>
            <w:tcW w:type="dxa" w:w="20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merchant-portal</w:t>
            </w:r>
          </w:p>
        </w:tc>
        <w:tc>
          <w:tcPr>
            <w:tcW w:type="dxa" w:w="7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3003</w:t>
            </w:r>
          </w:p>
        </w:tc>
        <w:tc>
          <w:tcPr>
            <w:tcW w:type="dxa" w:w="19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merchant</w:t>
            </w:r>
          </w:p>
        </w:tc>
        <w:tc>
          <w:tcPr>
            <w:tcW w:type="dxa" w:w="4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Store sales, terminal health, settlement ledger</w:t>
            </w:r>
          </w:p>
        </w:tc>
      </w:tr>
      <w:tr>
        <w:tc>
          <w:tcPr>
            <w:tcW w:type="dxa" w:w="20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mobile-app</w:t>
            </w:r>
          </w:p>
        </w:tc>
        <w:tc>
          <w:tcPr>
            <w:tcW w:type="dxa" w:w="7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w:t>
            </w:r>
          </w:p>
        </w:tc>
        <w:tc>
          <w:tcPr>
            <w:tcW w:type="dxa" w:w="19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customer</w:t>
            </w:r>
          </w:p>
        </w:tc>
        <w:tc>
          <w:tcPr>
            <w:tcW w:type="dxa" w:w="4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React Native / Expo. Account linking, bill payments, PIN threshold, live chat</w:t>
            </w:r>
          </w:p>
        </w:tc>
      </w:tr>
      <w:tr>
        <w:tc>
          <w:tcPr>
            <w:tcW w:type="dxa" w:w="20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website</w:t>
            </w:r>
          </w:p>
        </w:tc>
        <w:tc>
          <w:tcPr>
            <w:tcW w:type="dxa" w:w="7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w:t>
            </w:r>
          </w:p>
        </w:tc>
        <w:tc>
          <w:tcPr>
            <w:tcW w:type="dxa" w:w="19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public</w:t>
            </w:r>
          </w:p>
        </w:tc>
        <w:tc>
          <w:tcPr>
            <w:tcW w:type="dxa" w:w="4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Marketing and onboarding</w:t>
            </w:r>
          </w:p>
        </w:tc>
      </w:tr>
    </w:tbl>
    <w:p>
      <w:pPr>
        <w:spacing w:after="200"/>
      </w:pPr>
    </w:p>
    <w:p>
      <w:pPr>
        <w:spacing w:after="160" w:line="276"/>
        <w:jc w:val="both"/>
      </w:pPr>
      <w:r>
        <w:rPr>
          <w:rFonts w:ascii="Georgia" w:cs="Georgia" w:eastAsia="Georgia" w:hAnsi="Georgia"/>
          <w:color w:val="232B31"/>
          <w:sz w:val="21"/>
          <w:szCs w:val="21"/>
        </w:rPr>
        <w:t xml:space="preserve">packages/shared (@milipay/shared) holds the Supabase client, domain types, business services and reusable UI. The project rule is explicit: API calls and shared components belong there, not duplicated into individual portals. The merchant portal is deliberately excluded from Firebase hosting at this phase.</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The agent boundary is the one to understand.  </w:t>
      </w:r>
      <w:r>
        <w:rPr>
          <w:rFonts w:ascii="Georgia" w:cs="Georgia" w:eastAsia="Georgia" w:hAnsi="Georgia"/>
          <w:i/>
          <w:iCs/>
          <w:color w:val="46525A"/>
          <w:sz w:val="19"/>
          <w:szCs w:val="19"/>
        </w:rPr>
        <w:t xml:space="preserve">Field agents are the most sensitive trust point in the system — they meet customers in person and capture biometrics. They are barred from transaction data, and that is enforced in the row-level security policy rather than only in the interface. An earlier permissive policy was dropped specifically so it could not be bypassed. This is the single best piece of security design in the codebase and it should be preserved through any refactor.</w:t>
      </w:r>
    </w:p>
    <w:p>
      <w:pPr>
        <w:spacing w:after="120" w:before="300"/>
      </w:pPr>
      <w:r>
        <w:rPr>
          <w:rFonts w:ascii="Arial" w:cs="Arial" w:eastAsia="Arial" w:hAnsi="Arial"/>
          <w:b/>
          <w:bCs/>
          <w:color w:val="263E4F"/>
          <w:sz w:val="22"/>
          <w:szCs w:val="22"/>
        </w:rPr>
        <w:t xml:space="preserve">3. Backend</w:t>
      </w:r>
    </w:p>
    <w:p>
      <w:pPr>
        <w:spacing w:after="160" w:line="276"/>
        <w:jc w:val="both"/>
      </w:pPr>
      <w:r>
        <w:rPr>
          <w:rFonts w:ascii="Georgia" w:cs="Georgia" w:eastAsia="Georgia" w:hAnsi="Georgia"/>
          <w:color w:val="232B31"/>
          <w:sz w:val="21"/>
          <w:szCs w:val="21"/>
        </w:rPr>
        <w:t xml:space="preserve">Supabase provides PostgreSQL, authentication, row-level security, realtime and Edge Functions. There are twenty-two migrations and nine Edge Functions. Transactions are RANGE partitioned by month, and the partition is created by a trigger on first insert into a new month — a decision taken in the very first migration rather than retrofitted later.</w:t>
      </w:r>
    </w:p>
    <w:p>
      <w:pPr>
        <w:spacing w:after="120"/>
      </w:pPr>
    </w:p>
    <w:tbl>
      <w:tblPr>
        <w:tblW w:type="dxa" w:w="9070"/>
        <w:tblBorders>
          <w:top w:val="single" w:color="D8DDE1" w:sz="2"/>
          <w:left w:val="none" w:color="FFFFFF" w:sz="0"/>
          <w:bottom w:val="single" w:color="D8DDE1" w:sz="2"/>
          <w:right w:val="none" w:color="FFFFFF" w:sz="0"/>
          <w:insideH w:val="single" w:color="D8DDE1" w:sz="2"/>
          <w:insideV w:val="none" w:color="FFFFFF" w:sz="0"/>
        </w:tblBorders>
      </w:tblPr>
      <w:tblGrid>
        <w:gridCol w:w="2700"/>
        <w:gridCol w:w="6370"/>
      </w:tblGrid>
      <w:tr>
        <w:trPr>
          <w:tblHeader/>
        </w:trPr>
        <w:tc>
          <w:tcPr>
            <w:tcW w:type="dxa" w:w="27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Edge Function</w:t>
            </w:r>
          </w:p>
        </w:tc>
        <w:tc>
          <w:tcPr>
            <w:tcW w:type="dxa" w:w="637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What it does</w:t>
            </w:r>
          </w:p>
        </w:tc>
      </w:tr>
      <w:tr>
        <w:tc>
          <w:tcPr>
            <w:tcW w:type="dxa" w:w="27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process-payment</w:t>
            </w:r>
          </w:p>
        </w:tc>
        <w:tc>
          <w:tcPr>
            <w:tcW w:type="dxa" w:w="63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POS checkout: authorise caller, match palm, enforce limits and PIN, record transaction, return receipt</w:t>
            </w:r>
          </w:p>
        </w:tc>
      </w:tr>
      <w:tr>
        <w:tc>
          <w:tcPr>
            <w:tcW w:type="dxa" w:w="27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vtu-service</w:t>
            </w:r>
          </w:p>
        </w:tc>
        <w:tc>
          <w:tcPr>
            <w:tcW w:type="dxa" w:w="63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Airtime, data, electricity and cable purchases via VTPass, including automatic reversal</w:t>
            </w:r>
          </w:p>
        </w:tc>
      </w:tr>
      <w:tr>
        <w:tc>
          <w:tcPr>
            <w:tcW w:type="dxa" w:w="27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link-mono-account</w:t>
            </w:r>
          </w:p>
        </w:tc>
        <w:tc>
          <w:tcPr>
            <w:tcW w:type="dxa" w:w="63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Exchanges the Mono Connect code for an account and stores the linked account</w:t>
            </w:r>
          </w:p>
        </w:tc>
      </w:tr>
      <w:tr>
        <w:tc>
          <w:tcPr>
            <w:tcW w:type="dxa" w:w="27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onboard-merchant</w:t>
            </w:r>
          </w:p>
        </w:tc>
        <w:tc>
          <w:tcPr>
            <w:tcW w:type="dxa" w:w="63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Merchant registration with settlement account verification against NIBSS through Mono</w:t>
            </w:r>
          </w:p>
        </w:tc>
      </w:tr>
      <w:tr>
        <w:tc>
          <w:tcPr>
            <w:tcW w:type="dxa" w:w="27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agent-register-user</w:t>
            </w:r>
          </w:p>
        </w:tc>
        <w:tc>
          <w:tcPr>
            <w:tcW w:type="dxa" w:w="63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Field agent enrolment submission</w:t>
            </w:r>
          </w:p>
        </w:tc>
      </w:tr>
      <w:tr>
        <w:tc>
          <w:tcPr>
            <w:tcW w:type="dxa" w:w="27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approve-customer</w:t>
            </w:r>
          </w:p>
        </w:tc>
        <w:tc>
          <w:tcPr>
            <w:tcW w:type="dxa" w:w="63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Administrator approval of a pending enrolment</w:t>
            </w:r>
          </w:p>
        </w:tc>
      </w:tr>
      <w:tr>
        <w:tc>
          <w:tcPr>
            <w:tcW w:type="dxa" w:w="27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reject-customer</w:t>
            </w:r>
          </w:p>
        </w:tc>
        <w:tc>
          <w:tcPr>
            <w:tcW w:type="dxa" w:w="63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Administrator rejection of a pending enrolment</w:t>
            </w:r>
          </w:p>
        </w:tc>
      </w:tr>
      <w:tr>
        <w:tc>
          <w:tcPr>
            <w:tcW w:type="dxa" w:w="27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create-staff</w:t>
            </w:r>
          </w:p>
        </w:tc>
        <w:tc>
          <w:tcPr>
            <w:tcW w:type="dxa" w:w="63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Staff account provisioning</w:t>
            </w:r>
          </w:p>
        </w:tc>
      </w:tr>
      <w:tr>
        <w:tc>
          <w:tcPr>
            <w:tcW w:type="dxa" w:w="27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delete-staff</w:t>
            </w:r>
          </w:p>
        </w:tc>
        <w:tc>
          <w:tcPr>
            <w:tcW w:type="dxa" w:w="63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Staff account removal</w:t>
            </w:r>
          </w:p>
        </w:tc>
      </w:tr>
    </w:tbl>
    <w:p>
      <w:pPr>
        <w:spacing w:after="200"/>
      </w:pPr>
    </w:p>
    <w:p>
      <w:pPr>
        <w:spacing w:after="160" w:line="276"/>
        <w:jc w:val="both"/>
      </w:pPr>
      <w:r>
        <w:rPr>
          <w:rFonts w:ascii="Georgia" w:cs="Georgia" w:eastAsia="Georgia" w:hAnsi="Georgia"/>
          <w:color w:val="232B31"/>
          <w:sz w:val="21"/>
          <w:szCs w:val="21"/>
        </w:rPr>
        <w:t xml:space="preserve">Four shared modules sit under functions/_shared and were introduced in the September hardening work: auth.ts (caller authentication, staff role lookup, error shape), biometrics.ts (the only sanctioned route into palm matching), limits.ts (KYC tier caps, PIN challenge, daily volume) and providers.ts (external provider calls).</w:t>
      </w:r>
    </w:p>
    <w:p>
      <w:pPr>
        <w:spacing w:after="120" w:before="300"/>
      </w:pPr>
      <w:r>
        <w:rPr>
          <w:rFonts w:ascii="Arial" w:cs="Arial" w:eastAsia="Arial" w:hAnsi="Arial"/>
          <w:b/>
          <w:bCs/>
          <w:color w:val="263E4F"/>
          <w:sz w:val="22"/>
          <w:szCs w:val="22"/>
        </w:rPr>
        <w:t xml:space="preserve">4. The sovereign matching service</w:t>
      </w:r>
    </w:p>
    <w:p>
      <w:pPr>
        <w:spacing w:after="160" w:line="276"/>
        <w:jc w:val="both"/>
      </w:pPr>
      <w:r>
        <w:rPr>
          <w:rFonts w:ascii="Georgia" w:cs="Georgia" w:eastAsia="Georgia" w:hAnsi="Georgia"/>
          <w:color w:val="232B31"/>
          <w:sz w:val="21"/>
          <w:szCs w:val="21"/>
        </w:rPr>
        <w:t xml:space="preserve">One-to-many palm matching does not run inside Supabase. It is a separate C++ microservice holding BYTEA templates in memory as vectors of float and executing CompareFeaturesScore against the Linux SDK. Edge Functions reach it over HTTP at PALM_MATCH_URL, with an optional service key, a three-second timeout, and a similarity threshold that defaults to 0.82.</w:t>
      </w:r>
    </w:p>
    <w:p>
      <w:pPr>
        <w:spacing w:after="160" w:line="276"/>
        <w:jc w:val="both"/>
      </w:pPr>
      <w:r>
        <w:rPr>
          <w:rFonts w:ascii="Georgia" w:cs="Georgia" w:eastAsia="Georgia" w:hAnsi="Georgia"/>
          <w:color w:val="232B31"/>
          <w:sz w:val="21"/>
          <w:szCs w:val="21"/>
        </w:rPr>
        <w:t xml:space="preserve">The module fails closed in three distinct ways: if no endpoint is configured, if the call fails or times out, or if the returned score falls below threshold. In each case the payment is declined. This matters because the earlier implementation accepted a palmFeature parameter and ignored it entirely, taking the customer identity from the request instead.</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Status.  </w:t>
      </w:r>
      <w:r>
        <w:rPr>
          <w:rFonts w:ascii="Georgia" w:cs="Georgia" w:eastAsia="Georgia" w:hAnsi="Georgia"/>
          <w:i/>
          <w:iCs/>
          <w:color w:val="46525A"/>
          <w:sz w:val="19"/>
          <w:szCs w:val="19"/>
        </w:rPr>
        <w:t xml:space="preserve">The integration contract exists and is safe. The C++ service it calls is not part of this repository, and until PALM_MATCH_URL points at a deployed matcher, every card-present payment will decline with BIOMETRIC_SERVICE_UNAVAILABLE. Building and deploying that service is the critical path for the whole platform.</w:t>
      </w:r>
    </w:p>
    <w:p>
      <w:pPr>
        <w:spacing w:after="120" w:before="300"/>
      </w:pPr>
      <w:r>
        <w:rPr>
          <w:rFonts w:ascii="Arial" w:cs="Arial" w:eastAsia="Arial" w:hAnsi="Arial"/>
          <w:b/>
          <w:bCs/>
          <w:color w:val="263E4F"/>
          <w:sz w:val="22"/>
          <w:szCs w:val="22"/>
        </w:rPr>
        <w:t xml:space="preserve">5. Financial rails</w:t>
      </w:r>
    </w:p>
    <w:p>
      <w:pPr>
        <w:spacing w:after="160" w:line="276"/>
        <w:jc w:val="both"/>
      </w:pPr>
      <w:r>
        <w:rPr>
          <w:rFonts w:ascii="Georgia" w:cs="Georgia" w:eastAsia="Georgia" w:hAnsi="Georgia"/>
          <w:color w:val="232B31"/>
          <w:sz w:val="21"/>
          <w:szCs w:val="21"/>
        </w:rPr>
        <w:t xml:space="preserve">Mono is the intended Open Banking provider. Merchant settlement accounts are verified in real time against NIBSS through the account lookup endpoint before a merchant can be activated. Each merchant is to be provisioned a Mono sub-account so that a customer debit splits automatically — 98.5 percent to the merchant, 1.5 percent to MiliPay — with disbursement either instant or as an end-of-day NIP batch.</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Status.  </w:t>
      </w:r>
      <w:r>
        <w:rPr>
          <w:rFonts w:ascii="Georgia" w:cs="Georgia" w:eastAsia="Georgia" w:hAnsi="Georgia"/>
          <w:i/>
          <w:iCs/>
          <w:color w:val="46525A"/>
          <w:sz w:val="19"/>
          <w:szCs w:val="19"/>
        </w:rPr>
        <w:t xml:space="preserve">Account linking through Mono is live. The debit is not. process-payment calculates the fee and the net merchant amount, writes the transaction row with status “success” and returns an approval, but no call is made to Mono and no money moves. Whether the final rail is Mono DirectPay or a licensed switch is still an open commercial decision.</w:t>
      </w:r>
    </w:p>
    <w:p>
      <w:pPr>
        <w:spacing w:after="160" w:line="276"/>
        <w:jc w:val="both"/>
      </w:pPr>
      <w:r>
        <w:rPr>
          <w:rFonts w:ascii="Georgia" w:cs="Georgia" w:eastAsia="Georgia" w:hAnsi="Georgia"/>
          <w:color w:val="232B31"/>
          <w:sz w:val="21"/>
          <w:szCs w:val="21"/>
        </w:rPr>
        <w:t xml:space="preserve">Value-added services run on a different rail entirely and do work end to end. Customer debits settle into MiliPay, and fulfilment — airtime, SME data, electricity tokens, cable subscriptions — is executed against VTPass from a pre-funded float. Where VTPass fails after the customer has been debited, the system reverses automatically against an idempotency key.</w:t>
      </w:r>
    </w:p>
    <w:p>
      <w:pPr>
        <w:pBdr>
          <w:bottom w:val="single" w:color="1C9E63" w:sz="6" w:space="6"/>
        </w:pBdr>
        <w:spacing w:after="200" w:before="420"/>
      </w:pPr>
      <w:r>
        <w:rPr>
          <w:rFonts w:ascii="Arial" w:cs="Arial" w:eastAsia="Arial" w:hAnsi="Arial"/>
          <w:b/>
          <w:bCs/>
          <w:color w:val="263E4F"/>
          <w:sz w:val="26"/>
          <w:szCs w:val="26"/>
        </w:rPr>
        <w:t xml:space="preserve">Request path for a card-present payment</w:t>
      </w:r>
    </w:p>
    <w:p>
      <w:pPr>
        <w:spacing w:after="150" w:line="276"/>
        <w:ind w:left="567" w:hanging="567"/>
        <w:jc w:val="both"/>
      </w:pPr>
      <w:r>
        <w:rPr>
          <w:rFonts w:ascii="Arial" w:cs="Arial" w:eastAsia="Arial" w:hAnsi="Arial"/>
          <w:b/>
          <w:bCs/>
          <w:color w:val="263E4F"/>
          <w:sz w:val="20"/>
          <w:szCs w:val="20"/>
        </w:rPr>
        <w:t xml:space="preserve">1	</w:t>
      </w:r>
      <w:r>
        <w:rPr>
          <w:rFonts w:ascii="Georgia" w:cs="Georgia" w:eastAsia="Georgia" w:hAnsi="Georgia"/>
          <w:color w:val="232B31"/>
          <w:sz w:val="21"/>
          <w:szCs w:val="21"/>
        </w:rPr>
        <w:t xml:space="preserve">Cashier enters the amount on the terminal.</w:t>
      </w:r>
    </w:p>
    <w:p>
      <w:pPr>
        <w:spacing w:after="150" w:line="276"/>
        <w:ind w:left="567" w:hanging="567"/>
        <w:jc w:val="both"/>
      </w:pPr>
      <w:r>
        <w:rPr>
          <w:rFonts w:ascii="Arial" w:cs="Arial" w:eastAsia="Arial" w:hAnsi="Arial"/>
          <w:b/>
          <w:bCs/>
          <w:color w:val="263E4F"/>
          <w:sz w:val="20"/>
          <w:szCs w:val="20"/>
        </w:rPr>
        <w:t xml:space="preserve">2	</w:t>
      </w:r>
      <w:r>
        <w:rPr>
          <w:rFonts w:ascii="Georgia" w:cs="Georgia" w:eastAsia="Georgia" w:hAnsi="Georgia"/>
          <w:color w:val="232B31"/>
          <w:sz w:val="21"/>
          <w:szCs w:val="21"/>
        </w:rPr>
        <w:t xml:space="preserve">Customer presents a palm 10–15cm above the dual-lens sensor; liveness rejects photographs, screens and moulded hands.</w:t>
      </w:r>
    </w:p>
    <w:p>
      <w:pPr>
        <w:spacing w:after="150" w:line="276"/>
        <w:ind w:left="567" w:hanging="567"/>
        <w:jc w:val="both"/>
      </w:pPr>
      <w:r>
        <w:rPr>
          <w:rFonts w:ascii="Arial" w:cs="Arial" w:eastAsia="Arial" w:hAnsi="Arial"/>
          <w:b/>
          <w:bCs/>
          <w:color w:val="263E4F"/>
          <w:sz w:val="20"/>
          <w:szCs w:val="20"/>
        </w:rPr>
        <w:t xml:space="preserve">3	</w:t>
      </w:r>
      <w:r>
        <w:rPr>
          <w:rFonts w:ascii="Georgia" w:cs="Georgia" w:eastAsia="Georgia" w:hAnsi="Georgia"/>
          <w:color w:val="232B31"/>
          <w:sz w:val="21"/>
          <w:szCs w:val="21"/>
        </w:rPr>
        <w:t xml:space="preserve">Terminal extracts irFeature, base64-encodes it, and calls process-payment over HTTPS.</w:t>
      </w:r>
    </w:p>
    <w:p>
      <w:pPr>
        <w:spacing w:after="150" w:line="276"/>
        <w:ind w:left="567" w:hanging="567"/>
        <w:jc w:val="both"/>
      </w:pPr>
      <w:r>
        <w:rPr>
          <w:rFonts w:ascii="Arial" w:cs="Arial" w:eastAsia="Arial" w:hAnsi="Arial"/>
          <w:b/>
          <w:bCs/>
          <w:color w:val="263E4F"/>
          <w:sz w:val="20"/>
          <w:szCs w:val="20"/>
        </w:rPr>
        <w:t xml:space="preserve">4	</w:t>
      </w:r>
      <w:r>
        <w:rPr>
          <w:rFonts w:ascii="Georgia" w:cs="Georgia" w:eastAsia="Georgia" w:hAnsi="Georgia"/>
          <w:color w:val="232B31"/>
          <w:sz w:val="21"/>
          <w:szCs w:val="21"/>
        </w:rPr>
        <w:t xml:space="preserve">The function authenticates the caller and confirms they own the merchant, or are an administrator. Without this any signed-in user could bill any merchant.</w:t>
      </w:r>
    </w:p>
    <w:p>
      <w:pPr>
        <w:spacing w:after="150" w:line="276"/>
        <w:ind w:left="567" w:hanging="567"/>
        <w:jc w:val="both"/>
      </w:pPr>
      <w:r>
        <w:rPr>
          <w:rFonts w:ascii="Arial" w:cs="Arial" w:eastAsia="Arial" w:hAnsi="Arial"/>
          <w:b/>
          <w:bCs/>
          <w:color w:val="263E4F"/>
          <w:sz w:val="20"/>
          <w:szCs w:val="20"/>
        </w:rPr>
        <w:t xml:space="preserve">5	</w:t>
      </w:r>
      <w:r>
        <w:rPr>
          <w:rFonts w:ascii="Georgia" w:cs="Georgia" w:eastAsia="Georgia" w:hAnsi="Georgia"/>
          <w:color w:val="232B31"/>
          <w:sz w:val="21"/>
          <w:szCs w:val="21"/>
        </w:rPr>
        <w:t xml:space="preserve">Merchant must be active; terminal, if supplied, must be paired to that merchant and enabled.</w:t>
      </w:r>
    </w:p>
    <w:p>
      <w:pPr>
        <w:spacing w:after="150" w:line="276"/>
        <w:ind w:left="567" w:hanging="567"/>
        <w:jc w:val="both"/>
      </w:pPr>
      <w:r>
        <w:rPr>
          <w:rFonts w:ascii="Arial" w:cs="Arial" w:eastAsia="Arial" w:hAnsi="Arial"/>
          <w:b/>
          <w:bCs/>
          <w:color w:val="263E4F"/>
          <w:sz w:val="20"/>
          <w:szCs w:val="20"/>
        </w:rPr>
        <w:t xml:space="preserve">6	</w:t>
      </w:r>
      <w:r>
        <w:rPr>
          <w:rFonts w:ascii="Georgia" w:cs="Georgia" w:eastAsia="Georgia" w:hAnsi="Georgia"/>
          <w:color w:val="232B31"/>
          <w:sz w:val="21"/>
          <w:szCs w:val="21"/>
        </w:rPr>
        <w:t xml:space="preserve">The payment reference is checked for idempotency. A replay returns the original outcome rather than charging twice.</w:t>
      </w:r>
    </w:p>
    <w:p>
      <w:pPr>
        <w:spacing w:after="150" w:line="276"/>
        <w:ind w:left="567" w:hanging="567"/>
        <w:jc w:val="both"/>
      </w:pPr>
      <w:r>
        <w:rPr>
          <w:rFonts w:ascii="Arial" w:cs="Arial" w:eastAsia="Arial" w:hAnsi="Arial"/>
          <w:b/>
          <w:bCs/>
          <w:color w:val="263E4F"/>
          <w:sz w:val="20"/>
          <w:szCs w:val="20"/>
        </w:rPr>
        <w:t xml:space="preserve">7	</w:t>
      </w:r>
      <w:r>
        <w:rPr>
          <w:rFonts w:ascii="Georgia" w:cs="Georgia" w:eastAsia="Georgia" w:hAnsi="Georgia"/>
          <w:color w:val="232B31"/>
          <w:sz w:val="21"/>
          <w:szCs w:val="21"/>
        </w:rPr>
        <w:t xml:space="preserve">matchPalm identifies the customer, or the payment declines.</w:t>
      </w:r>
    </w:p>
    <w:p>
      <w:pPr>
        <w:spacing w:after="150" w:line="276"/>
        <w:ind w:left="567" w:hanging="567"/>
        <w:jc w:val="both"/>
      </w:pPr>
      <w:r>
        <w:rPr>
          <w:rFonts w:ascii="Arial" w:cs="Arial" w:eastAsia="Arial" w:hAnsi="Arial"/>
          <w:b/>
          <w:bCs/>
          <w:color w:val="263E4F"/>
          <w:sz w:val="20"/>
          <w:szCs w:val="20"/>
        </w:rPr>
        <w:t xml:space="preserve">8	</w:t>
      </w:r>
      <w:r>
        <w:rPr>
          <w:rFonts w:ascii="Georgia" w:cs="Georgia" w:eastAsia="Georgia" w:hAnsi="Georgia"/>
          <w:color w:val="232B31"/>
          <w:sz w:val="21"/>
          <w:szCs w:val="21"/>
        </w:rPr>
        <w:t xml:space="preserve">Tier caps, the PIN challenge above the customer’s threshold, and the daily cumulative cap are enforced.</w:t>
      </w:r>
    </w:p>
    <w:p>
      <w:pPr>
        <w:spacing w:after="150" w:line="276"/>
        <w:ind w:left="567" w:hanging="567"/>
        <w:jc w:val="both"/>
      </w:pPr>
      <w:r>
        <w:rPr>
          <w:rFonts w:ascii="Arial" w:cs="Arial" w:eastAsia="Arial" w:hAnsi="Arial"/>
          <w:b/>
          <w:bCs/>
          <w:color w:val="263E4F"/>
          <w:sz w:val="20"/>
          <w:szCs w:val="20"/>
        </w:rPr>
        <w:t xml:space="preserve">9	</w:t>
      </w:r>
      <w:r>
        <w:rPr>
          <w:rFonts w:ascii="Georgia" w:cs="Georgia" w:eastAsia="Georgia" w:hAnsi="Georgia"/>
          <w:color w:val="232B31"/>
          <w:sz w:val="21"/>
          <w:szCs w:val="21"/>
        </w:rPr>
        <w:t xml:space="preserve">The split is computed and the transaction written. If the ledger write fails the payment is declined — it previously logged a warning and returned APPROVED.</w:t>
      </w:r>
    </w:p>
    <w:p>
      <w:pPr>
        <w:spacing w:after="150" w:line="276"/>
        <w:ind w:left="567" w:hanging="567"/>
        <w:jc w:val="both"/>
      </w:pPr>
      <w:r>
        <w:rPr>
          <w:rFonts w:ascii="Arial" w:cs="Arial" w:eastAsia="Arial" w:hAnsi="Arial"/>
          <w:b/>
          <w:bCs/>
          <w:color w:val="263E4F"/>
          <w:sz w:val="20"/>
          <w:szCs w:val="20"/>
        </w:rPr>
        <w:t xml:space="preserve">10	</w:t>
      </w:r>
      <w:r>
        <w:rPr>
          <w:rFonts w:ascii="Georgia" w:cs="Georgia" w:eastAsia="Georgia" w:hAnsi="Georgia"/>
          <w:color w:val="232B31"/>
          <w:sz w:val="21"/>
          <w:szCs w:val="21"/>
        </w:rPr>
        <w:t xml:space="preserve">Terminal heartbeat is updated only after the money path has succeeded, and the receipt is returned for the thermal printer.</w:t>
      </w:r>
    </w:p>
    <w:p>
      <w:pPr>
        <w:pBdr>
          <w:bottom w:val="single" w:color="1C9E63" w:sz="6" w:space="6"/>
        </w:pBdr>
        <w:spacing w:after="200" w:before="420"/>
      </w:pPr>
      <w:r>
        <w:rPr>
          <w:rFonts w:ascii="Arial" w:cs="Arial" w:eastAsia="Arial" w:hAnsi="Arial"/>
          <w:b/>
          <w:bCs/>
          <w:color w:val="263E4F"/>
          <w:sz w:val="26"/>
          <w:szCs w:val="26"/>
        </w:rPr>
        <w:t xml:space="preserve">Currency invariant</w:t>
      </w:r>
    </w:p>
    <w:p>
      <w:pPr>
        <w:spacing w:after="160" w:line="276"/>
        <w:jc w:val="both"/>
      </w:pPr>
      <w:r>
        <w:rPr>
          <w:rFonts w:ascii="Georgia" w:cs="Georgia" w:eastAsia="Georgia" w:hAnsi="Georgia"/>
          <w:color w:val="232B31"/>
          <w:sz w:val="21"/>
          <w:szCs w:val="21"/>
        </w:rPr>
        <w:t xml:space="preserve">Every amount — transaction values, balances, limits, fees — is stored in Naira as numeric(12,2). Never kobo. The formatting helper renders the stored value directly and must never divide by one hundred. A September migration converted linked_accounts.balance from integer kobo to Naira and recorded the conversion in a one-shot data_migrations ledger so the destructive backfill can never run twice. process-payment rejects any amount with more than two decimal places rather than rounding silently.</w:t>
      </w:r>
    </w:p>
    <w:p>
      <w:pPr>
        <w:pBdr>
          <w:bottom w:val="single" w:color="1C9E63" w:sz="6" w:space="6"/>
        </w:pBdr>
        <w:spacing w:after="200" w:before="420"/>
      </w:pPr>
      <w:r>
        <w:rPr>
          <w:rFonts w:ascii="Arial" w:cs="Arial" w:eastAsia="Arial" w:hAnsi="Arial"/>
          <w:b/>
          <w:bCs/>
          <w:color w:val="263E4F"/>
          <w:sz w:val="26"/>
          <w:szCs w:val="26"/>
        </w:rPr>
        <w:t xml:space="preserve">Deployment topology</w:t>
      </w:r>
    </w:p>
    <w:p>
      <w:pPr>
        <w:spacing w:after="160" w:line="276"/>
        <w:jc w:val="both"/>
      </w:pPr>
      <w:r>
        <w:rPr>
          <w:rFonts w:ascii="Georgia" w:cs="Georgia" w:eastAsia="Georgia" w:hAnsi="Georgia"/>
          <w:color w:val="232B31"/>
          <w:sz w:val="21"/>
          <w:szCs w:val="21"/>
        </w:rPr>
        <w:t xml:space="preserve">Four web targets are deployed to Firebase Hosting under the project aniyu-b841b: the marketing website, the admin panel, the agent portal and the service portal. The merchant portal is intentionally excluded at this phase. ENG-005 covers the deployment and operational procedures.</w:t>
      </w:r>
    </w:p>
    <w:p>
      <w:pPr>
        <w:pBdr>
          <w:bottom w:val="single" w:color="D8DDE1" w:sz="4" w:space="4"/>
        </w:pBdr>
        <w:spacing w:after="200" w:before="200"/>
      </w:pPr>
    </w:p>
    <w:p>
      <w:pPr>
        <w:spacing w:before="120"/>
      </w:pPr>
      <w:r>
        <w:rPr>
          <w:rFonts w:ascii="Georgia" w:cs="Georgia" w:eastAsia="Georgia" w:hAnsi="Georgia"/>
          <w:i/>
          <w:iCs/>
          <w:color w:val="6B7780"/>
          <w:sz w:val="17"/>
          <w:szCs w:val="17"/>
        </w:rPr>
        <w:t xml:space="preserve">Prepared as part of the MiliPay documentation programme, 20 September 2026, from a direct read of the repository at that date. Component status reflects the code, not the roadmap.</w:t>
      </w:r>
    </w:p>
    <w:sectPr>
      <w:headerReference w:type="default" r:id="rId7"/>
      <w:headerReference w:type="first" r:id="rId8"/>
      <w:footerReference w:type="default" r:id="rId9"/>
      <w:footerReference w:type="first" r:id="rId10"/>
      <w:pgSz w:w="11906" w:h="16838" w:orient="portrait"/>
      <w:pgMar w:top="1985" w:right="1418" w:bottom="1418" w:left="1418" w:header="680"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1" w:sz="4" w:space="8"/>
      </w:pBdr>
      <w:spacing w:before="60"/>
    </w:pPr>
    <w:r>
      <w:rPr>
        <w:rFonts w:ascii="Arial" w:cs="Arial" w:eastAsia="Arial" w:hAnsi="Arial"/>
        <w:color w:val="6B7780"/>
        <w:sz w:val="15"/>
        <w:szCs w:val="15"/>
      </w:rPr>
      <w:t xml:space="preserve">MiliPay — Confidential</w:t>
    </w:r>
    <w:r>
      <w:rPr>
        <w:rFonts w:ascii="Arial" w:cs="Arial" w:eastAsia="Arial" w:hAnsi="Arial"/>
        <w:color w:val="6B7780"/>
        <w:sz w:val="15"/>
        <w:szCs w:val="15"/>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1" w:sz="4" w:space="8"/>
      </w:pBdr>
      <w:spacing w:after="80"/>
    </w:pPr>
    <w:r>
      <w:drawing>
        <wp:inline distT="0" distB="0" distL="0" distR="0">
          <wp:extent cx="13716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71600" cy="314325"/>
                  </a:xfrm>
                  <a:prstGeom prst="rect">
                    <a:avLst/>
                  </a:prstGeom>
                </pic:spPr>
              </pic:pic>
            </a:graphicData>
          </a:graphic>
        </wp:inline>
      </w:drawing>
    </w:r>
    <w:r>
      <w:drawing>
        <wp:anchor distT="0" distB="0" distL="0" distR="0" simplePos="0" allowOverlap="1" behindDoc="1" locked="0" layoutInCell="1" relativeHeight="1190625">
          <wp:simplePos x="0" y="0"/>
          <wp:positionH relativeFrom="page">
            <wp:align>center</wp:align>
          </wp:positionH>
          <wp:positionV relativeFrom="page">
            <wp:align>center</wp:align>
          </wp:positionV>
          <wp:extent cx="5219700" cy="11906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219700" cy="11906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3e0989ba344b83a3cd5ada373155c6ac4430dc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3e0989ba344b83a3cd5ada373155c6ac4430dcd.png"/><Relationship Id="rId1" Type="http://schemas.openxmlformats.org/officeDocument/2006/relationships/image" Target="media/bf5121a7b7116315fc971d9aae4a8f9d37f8e4b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MiliPay — System Architecture</dc:title>
  <dc:creator>MiliPay</dc:creator>
  <dc:description>ENG-001 · Version 2.0 · Confidential</dc:description>
  <cp:lastModifiedBy>Un-named</cp:lastModifiedBy>
  <cp:revision>1</cp:revision>
  <dcterms:created xsi:type="dcterms:W3CDTF">2026-09-20T11:50:02.609Z</dcterms:created>
  <dcterms:modified xsi:type="dcterms:W3CDTF">2026-09-20T11:50:02.611Z</dcterms:modified>
</cp:coreProperties>
</file>

<file path=docProps/custom.xml><?xml version="1.0" encoding="utf-8"?>
<Properties xmlns="http://schemas.openxmlformats.org/officeDocument/2006/custom-properties" xmlns:vt="http://schemas.openxmlformats.org/officeDocument/2006/docPropsVTypes"/>
</file>