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Technical Debt</w:t>
      </w:r>
      <w:r>
        <w:rPr>
          <w:rFonts w:ascii="Arial" w:cs="Arial" w:eastAsia="Arial" w:hAnsi="Arial"/>
          <w:b/>
          <w:bCs/>
          <w:color w:val="263E4F"/>
          <w:sz w:val="52"/>
          <w:szCs w:val="52"/>
        </w:rPr>
        <w:br/>
        <w:t xml:space="preserve">Register</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What is wrong with the platform, what was wrong and has since been fixed, and what has to be true before real customer biometrics are captured.</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ENG-006</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2.0</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20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 — Internal</w:t>
      </w:r>
    </w:p>
    <w:p>
      <w:r>
        <w:br w:type="page"/>
      </w:r>
    </w:p>
    <w:p>
      <w:pPr>
        <w:pBdr>
          <w:bottom w:val="single" w:color="1C9E63" w:sz="6" w:space="6"/>
        </w:pBdr>
        <w:spacing w:after="200" w:before="420"/>
      </w:pPr>
      <w:r>
        <w:rPr>
          <w:rFonts w:ascii="Arial" w:cs="Arial" w:eastAsia="Arial" w:hAnsi="Arial"/>
          <w:b/>
          <w:bCs/>
          <w:color w:val="263E4F"/>
          <w:sz w:val="26"/>
          <w:szCs w:val="26"/>
        </w:rPr>
        <w:t xml:space="preserve">How to read this</w:t>
      </w:r>
    </w:p>
    <w:p>
      <w:pPr>
        <w:spacing w:after="160" w:line="276"/>
        <w:jc w:val="both"/>
      </w:pPr>
      <w:r>
        <w:rPr>
          <w:rFonts w:ascii="Georgia" w:cs="Georgia" w:eastAsia="Georgia" w:hAnsi="Georgia"/>
          <w:color w:val="232B31"/>
          <w:sz w:val="21"/>
          <w:szCs w:val="21"/>
        </w:rPr>
        <w:t xml:space="preserve">This register is written to be shown to a technical diligence process, not to survive one. Everything here would be found by a competent reviewer in an afternoon; writing it down first is cheaper than being told.</w:t>
      </w:r>
    </w:p>
    <w:p>
      <w:pPr>
        <w:spacing w:after="160" w:line="276"/>
        <w:jc w:val="both"/>
      </w:pPr>
      <w:r>
        <w:rPr>
          <w:rFonts w:ascii="Georgia" w:cs="Georgia" w:eastAsia="Georgia" w:hAnsi="Georgia"/>
          <w:color w:val="232B31"/>
          <w:sz w:val="21"/>
          <w:szCs w:val="21"/>
        </w:rPr>
        <w:t xml:space="preserve">Version 1.0 of this document, dated 19 September 2026, listed six critical findings. A substantial hardening migration and a set of shared Edge Function modules landed on 20 September and closed most of them. This version records what changed, states plainly what remains, and separates what has been verified in the code from what has not.</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Verification standard.  </w:t>
      </w:r>
      <w:r>
        <w:rPr>
          <w:rFonts w:ascii="Georgia" w:cs="Georgia" w:eastAsia="Georgia" w:hAnsi="Georgia"/>
          <w:i/>
          <w:iCs/>
          <w:color w:val="46525A"/>
          <w:sz w:val="19"/>
          <w:szCs w:val="19"/>
        </w:rPr>
        <w:t xml:space="preserve">An item is marked Closed only where the fix was read in the repository. Where a fix is claimed by a commit message or implied by a related change but the code was not read end to end, it is marked Unverified. Unverified is not a criticism — it means the check has not been done yet, and it should be done before the pilot rather than assumed.</w:t>
      </w:r>
    </w:p>
    <w:p>
      <w:pPr>
        <w:pBdr>
          <w:bottom w:val="single" w:color="1C9E63" w:sz="6" w:space="6"/>
        </w:pBdr>
        <w:spacing w:after="200" w:before="420"/>
      </w:pPr>
      <w:r>
        <w:rPr>
          <w:rFonts w:ascii="Arial" w:cs="Arial" w:eastAsia="Arial" w:hAnsi="Arial"/>
          <w:b/>
          <w:bCs/>
          <w:color w:val="263E4F"/>
          <w:sz w:val="26"/>
          <w:szCs w:val="26"/>
        </w:rPr>
        <w:t xml:space="preserve">Part One — Closed since version 1.0</w:t>
      </w:r>
    </w:p>
    <w:p>
      <w:pPr>
        <w:spacing w:after="160" w:line="276"/>
        <w:jc w:val="both"/>
      </w:pPr>
      <w:r>
        <w:rPr>
          <w:rFonts w:ascii="Georgia" w:cs="Georgia" w:eastAsia="Georgia" w:hAnsi="Georgia"/>
          <w:color w:val="232B31"/>
          <w:sz w:val="21"/>
          <w:szCs w:val="21"/>
        </w:rPr>
        <w:t xml:space="preserve">The migration 20260920000000_security_hardening_and_currency_invariant.sql, together with the new functions/_shared modules, addresses the following.</w:t>
      </w:r>
    </w:p>
    <w:p>
      <w:pPr>
        <w:spacing w:after="100" w:before="240"/>
      </w:pPr>
      <w:r>
        <w:rPr>
          <w:rFonts w:ascii="Arial" w:cs="Arial" w:eastAsia="Arial" w:hAnsi="Arial"/>
          <w:b/>
          <w:bCs/>
          <w:color w:val="1C9E63"/>
          <w:spacing w:val="20"/>
          <w:sz w:val="17"/>
          <w:szCs w:val="17"/>
        </w:rPr>
        <w:t xml:space="preserve">TD-01  PALM MATCHING WAS NOT PERFORMED</w:t>
      </w:r>
    </w:p>
    <w:p>
      <w:pPr>
        <w:spacing w:after="160" w:line="276"/>
        <w:jc w:val="both"/>
      </w:pPr>
      <w:r>
        <w:rPr>
          <w:rFonts w:ascii="Georgia" w:cs="Georgia" w:eastAsia="Georgia" w:hAnsi="Georgia"/>
          <w:color w:val="232B31"/>
          <w:sz w:val="21"/>
          <w:szCs w:val="21"/>
        </w:rPr>
        <w:t xml:space="preserve">Previously process-payment accepted a palmFeature parameter and ignored it, taking the customer identity from the request body. Any caller who knew a user ID could authorise a payment as that user.</w:t>
      </w:r>
    </w:p>
    <w:p>
      <w:pPr>
        <w:spacing w:after="160" w:line="276"/>
        <w:jc w:val="both"/>
      </w:pPr>
      <w:r>
        <w:rPr>
          <w:rFonts w:ascii="Georgia" w:cs="Georgia" w:eastAsia="Georgia" w:hAnsi="Georgia"/>
          <w:color w:val="232B31"/>
          <w:sz w:val="21"/>
          <w:szCs w:val="21"/>
        </w:rPr>
        <w:t xml:space="preserve">Now the only route to identification is matchPalm in _shared/biometrics.ts, which posts the feature to a sovereign matching service and requires both a positive match and a similarity score at or above 0.82. It fails closed on a missing endpoint, a failed or timed-out call, an unrecognised palm, or a low-confidence match. The comment in the source says so explicitly: an unverified palm must never move money.</w:t>
      </w:r>
    </w:p>
    <w:p>
      <w:pPr>
        <w:spacing w:after="100" w:before="240"/>
      </w:pPr>
      <w:r>
        <w:rPr>
          <w:rFonts w:ascii="Arial" w:cs="Arial" w:eastAsia="Arial" w:hAnsi="Arial"/>
          <w:b/>
          <w:bCs/>
          <w:color w:val="1C9E63"/>
          <w:spacing w:val="20"/>
          <w:sz w:val="17"/>
          <w:szCs w:val="17"/>
        </w:rPr>
        <w:t xml:space="preserve">TD-02  THE PIN WAS NEVER VERIFIED</w:t>
      </w:r>
    </w:p>
    <w:p>
      <w:pPr>
        <w:spacing w:after="160" w:line="276"/>
        <w:jc w:val="both"/>
      </w:pPr>
      <w:r>
        <w:rPr>
          <w:rFonts w:ascii="Georgia" w:cs="Georgia" w:eastAsia="Georgia" w:hAnsi="Georgia"/>
          <w:color w:val="232B31"/>
          <w:sz w:val="21"/>
          <w:szCs w:val="21"/>
        </w:rPr>
        <w:t xml:space="preserve">users.pin_hash existed from the initial schema and nothing ever wrote or read it. The four-digit PIN was cosmetic end to end; the payment path checked only that a PIN had been supplied.</w:t>
      </w:r>
    </w:p>
    <w:p>
      <w:pPr>
        <w:spacing w:after="160" w:line="276"/>
        <w:jc w:val="both"/>
      </w:pPr>
      <w:r>
        <w:rPr>
          <w:rFonts w:ascii="Georgia" w:cs="Georgia" w:eastAsia="Georgia" w:hAnsi="Georgia"/>
          <w:color w:val="232B31"/>
          <w:sz w:val="21"/>
          <w:szCs w:val="21"/>
        </w:rPr>
        <w:t xml:space="preserve">Now set_customer_pin hashes with bcrypt through pgcrypto, rejects anything that is not four digits, and rejects a blocklist of trivially guessable PINs. verify_customer_pin is service-role only so a client cannot use it as an oracle, and five failures lock the PIN for fifteen minutes — necessary, because a four-digit PIN is otherwise exhaustible in seconds.</w:t>
      </w:r>
    </w:p>
    <w:p>
      <w:pPr>
        <w:spacing w:after="100" w:before="240"/>
      </w:pPr>
      <w:r>
        <w:rPr>
          <w:rFonts w:ascii="Arial" w:cs="Arial" w:eastAsia="Arial" w:hAnsi="Arial"/>
          <w:b/>
          <w:bCs/>
          <w:color w:val="1C9E63"/>
          <w:spacing w:val="20"/>
          <w:sz w:val="17"/>
          <w:szCs w:val="17"/>
        </w:rPr>
        <w:t xml:space="preserve">TD-03  CLIENTS COULD WRITE THEIR OWN ACCOUNT BALANCE</w:t>
      </w:r>
    </w:p>
    <w:p>
      <w:pPr>
        <w:spacing w:after="160" w:line="276"/>
        <w:jc w:val="both"/>
      </w:pPr>
      <w:r>
        <w:rPr>
          <w:rFonts w:ascii="Georgia" w:cs="Georgia" w:eastAsia="Georgia" w:hAnsi="Georgia"/>
          <w:color w:val="232B31"/>
          <w:sz w:val="21"/>
          <w:szCs w:val="21"/>
        </w:rPr>
        <w:t xml:space="preserve">A policy permitting users to update their own linked accounts allowed any signed-in client to set its own balance to an arbitrary value. Row-level security cannot scope individual columns, so the fix uses column-level grants: UPDATE is revoked from authenticated and re-granted only on is_active. Balance movement now runs through debit_linked_account and credit_linked_account, which are SECURITY DEFINER, service-role only, and perform the lock, the funds check and the write in a single atomic statement rather than a read-modify-write. A non-negative constraint backs it.</w:t>
      </w:r>
    </w:p>
    <w:p>
      <w:pPr>
        <w:spacing w:after="100" w:before="240"/>
      </w:pPr>
      <w:r>
        <w:rPr>
          <w:rFonts w:ascii="Arial" w:cs="Arial" w:eastAsia="Arial" w:hAnsi="Arial"/>
          <w:b/>
          <w:bCs/>
          <w:color w:val="1C9E63"/>
          <w:spacing w:val="20"/>
          <w:sz w:val="17"/>
          <w:szCs w:val="17"/>
        </w:rPr>
        <w:t xml:space="preserve">TD-04  CLIENTS COULD FORGE LEDGER ENTRIES</w:t>
      </w:r>
    </w:p>
    <w:p>
      <w:pPr>
        <w:spacing w:after="160" w:line="276"/>
        <w:jc w:val="both"/>
      </w:pPr>
      <w:r>
        <w:rPr>
          <w:rFonts w:ascii="Georgia" w:cs="Georgia" w:eastAsia="Georgia" w:hAnsi="Georgia"/>
          <w:color w:val="232B31"/>
          <w:sz w:val="21"/>
          <w:szCs w:val="21"/>
        </w:rPr>
        <w:t xml:space="preserve">INSERT, UPDATE and DELETE on transactions are revoked from authenticated and anon. Because privileges on a partitioned parent do not propagate to its partitions, a client could otherwise have written directly into transactions_YYYY_MM; the migration revokes on every existing partition and rewrites create_partition_and_insert so that each future monthly partition inherits the lockdown at creation. This is a subtle failure mode and closing it deliberately is to the team’s credit.</w:t>
      </w:r>
    </w:p>
    <w:p>
      <w:pPr>
        <w:spacing w:after="100" w:before="240"/>
      </w:pPr>
      <w:r>
        <w:rPr>
          <w:rFonts w:ascii="Arial" w:cs="Arial" w:eastAsia="Arial" w:hAnsi="Arial"/>
          <w:b/>
          <w:bCs/>
          <w:color w:val="1C9E63"/>
          <w:spacing w:val="20"/>
          <w:sz w:val="17"/>
          <w:szCs w:val="17"/>
        </w:rPr>
        <w:t xml:space="preserve">TD-05  THE MIGRATION DIRECTORY COULD NOT REBUILD THE DATABASE</w:t>
      </w:r>
    </w:p>
    <w:p>
      <w:pPr>
        <w:spacing w:after="160" w:line="276"/>
        <w:jc w:val="both"/>
      </w:pPr>
      <w:r>
        <w:rPr>
          <w:rFonts w:ascii="Georgia" w:cs="Georgia" w:eastAsia="Georgia" w:hAnsi="Georgia"/>
          <w:color w:val="232B31"/>
          <w:sz w:val="21"/>
          <w:szCs w:val="21"/>
        </w:rPr>
        <w:t xml:space="preserve">linked_accounts.balance, transactions.merchant_name and transactions.customer_id were written by the application but declared by no migration, so a clean rebuild produced a schema the code could not use. All three are now declared.</w:t>
      </w:r>
    </w:p>
    <w:p>
      <w:pPr>
        <w:spacing w:after="100" w:before="240"/>
      </w:pPr>
      <w:r>
        <w:rPr>
          <w:rFonts w:ascii="Arial" w:cs="Arial" w:eastAsia="Arial" w:hAnsi="Arial"/>
          <w:b/>
          <w:bCs/>
          <w:color w:val="1C9E63"/>
          <w:spacing w:val="20"/>
          <w:sz w:val="17"/>
          <w:szCs w:val="17"/>
        </w:rPr>
        <w:t xml:space="preserve">TD-06  VTU_SETTINGS PRICING WAS WORLD-WRITABLE</w:t>
      </w:r>
    </w:p>
    <w:p>
      <w:pPr>
        <w:spacing w:after="160" w:line="276"/>
        <w:jc w:val="both"/>
      </w:pPr>
      <w:r>
        <w:rPr>
          <w:rFonts w:ascii="Georgia" w:cs="Georgia" w:eastAsia="Georgia" w:hAnsi="Georgia"/>
          <w:color w:val="232B31"/>
          <w:sz w:val="21"/>
          <w:szCs w:val="21"/>
        </w:rPr>
        <w:t xml:space="preserve">The update and insert policies used USING (true). Any authenticated client could rewrite the platform’s margins. Both are now restricted to staff holding admin or super_admin. Read access remains open because surcharges are public retail pricing the app has to render.</w:t>
      </w:r>
    </w:p>
    <w:p>
      <w:pPr>
        <w:spacing w:after="100" w:before="240"/>
      </w:pPr>
      <w:r>
        <w:rPr>
          <w:rFonts w:ascii="Arial" w:cs="Arial" w:eastAsia="Arial" w:hAnsi="Arial"/>
          <w:b/>
          <w:bCs/>
          <w:color w:val="1C9E63"/>
          <w:spacing w:val="20"/>
          <w:sz w:val="17"/>
          <w:szCs w:val="17"/>
        </w:rPr>
        <w:t xml:space="preserve">TD-07  A FAILED LEDGER WRITE STILL RETURNED APPROVED</w:t>
      </w:r>
    </w:p>
    <w:p>
      <w:pPr>
        <w:spacing w:after="160" w:line="276"/>
        <w:jc w:val="both"/>
      </w:pPr>
      <w:r>
        <w:rPr>
          <w:rFonts w:ascii="Georgia" w:cs="Georgia" w:eastAsia="Georgia" w:hAnsi="Georgia"/>
          <w:color w:val="232B31"/>
          <w:sz w:val="21"/>
          <w:szCs w:val="21"/>
        </w:rPr>
        <w:t xml:space="preserve">The insert failure path was a console warning. The terminal printed a receipt and the customer believed they had paid, with no record. It now raises LEDGER_WRITE_FAILED and declines, with the message stating that no funds were moved. The terminal heartbeat was also moved to after the money path rather than before it.</w:t>
      </w:r>
    </w:p>
    <w:p>
      <w:pPr>
        <w:spacing w:after="100" w:before="240"/>
      </w:pPr>
      <w:r>
        <w:rPr>
          <w:rFonts w:ascii="Arial" w:cs="Arial" w:eastAsia="Arial" w:hAnsi="Arial"/>
          <w:b/>
          <w:bCs/>
          <w:color w:val="1C9E63"/>
          <w:spacing w:val="20"/>
          <w:sz w:val="17"/>
          <w:szCs w:val="17"/>
        </w:rPr>
        <w:t xml:space="preserve">TD-08  EDGE FUNCTIONS WITHOUT AUTHENTICATION</w:t>
      </w:r>
    </w:p>
    <w:p>
      <w:pPr>
        <w:spacing w:after="160" w:line="276"/>
        <w:jc w:val="both"/>
      </w:pPr>
      <w:r>
        <w:rPr>
          <w:rFonts w:ascii="Georgia" w:cs="Georgia" w:eastAsia="Georgia" w:hAnsi="Georgia"/>
          <w:color w:val="232B31"/>
          <w:sz w:val="21"/>
          <w:szCs w:val="21"/>
        </w:rPr>
        <w:t xml:space="preserve">process-payment now calls requireCaller, resolves the caller’s staff role, and rejects anyone who is neither the merchant’s owner nor an administrator — the source notes that without this check any signed-in user could bill any merchant. It also verifies that a supplied terminal is paired to that merchant and active.</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Partially verified.  </w:t>
      </w:r>
      <w:r>
        <w:rPr>
          <w:rFonts w:ascii="Georgia" w:cs="Georgia" w:eastAsia="Georgia" w:hAnsi="Georgia"/>
          <w:i/>
          <w:iCs/>
          <w:color w:val="46525A"/>
          <w:sz w:val="19"/>
          <w:szCs w:val="19"/>
        </w:rPr>
        <w:t xml:space="preserve">The equivalent checks in vtu-service and agent-register-user have not been read end to end in this pass. Both were modified in the same hardening work and both import the shared auth module, but that is inference. Confirm before the pilot — vtu-service in particular exposes a margin-update action that must be administrator-only.</w:t>
      </w:r>
    </w:p>
    <w:p>
      <w:pPr>
        <w:spacing w:after="100" w:before="240"/>
      </w:pPr>
      <w:r>
        <w:rPr>
          <w:rFonts w:ascii="Arial" w:cs="Arial" w:eastAsia="Arial" w:hAnsi="Arial"/>
          <w:b/>
          <w:bCs/>
          <w:color w:val="1C9E63"/>
          <w:spacing w:val="20"/>
          <w:sz w:val="17"/>
          <w:szCs w:val="17"/>
        </w:rPr>
        <w:t xml:space="preserve">TD-09  NO IDEMPOTENCY ON PAYMENTS</w:t>
      </w:r>
    </w:p>
    <w:p>
      <w:pPr>
        <w:spacing w:after="160" w:line="276"/>
        <w:jc w:val="both"/>
      </w:pPr>
      <w:r>
        <w:rPr>
          <w:rFonts w:ascii="Georgia" w:cs="Georgia" w:eastAsia="Georgia" w:hAnsi="Georgia"/>
          <w:color w:val="232B31"/>
          <w:sz w:val="21"/>
          <w:szCs w:val="21"/>
        </w:rPr>
        <w:t xml:space="preserve">A retried request could double-charge. process-payment now generates or accepts a reference, checks for an existing transaction with that reference, and returns the original outcome marked idempotent rather than charging again.</w:t>
      </w:r>
    </w:p>
    <w:p>
      <w:pPr>
        <w:spacing w:after="100" w:before="240"/>
      </w:pPr>
      <w:r>
        <w:rPr>
          <w:rFonts w:ascii="Arial" w:cs="Arial" w:eastAsia="Arial" w:hAnsi="Arial"/>
          <w:b/>
          <w:bCs/>
          <w:color w:val="1C9E63"/>
          <w:spacing w:val="20"/>
          <w:sz w:val="17"/>
          <w:szCs w:val="17"/>
        </w:rPr>
        <w:t xml:space="preserve">TD-10  CURRENCY STORED INCONSISTENTLY</w:t>
      </w:r>
    </w:p>
    <w:p>
      <w:pPr>
        <w:spacing w:after="160" w:line="276"/>
        <w:jc w:val="both"/>
      </w:pPr>
      <w:r>
        <w:rPr>
          <w:rFonts w:ascii="Georgia" w:cs="Georgia" w:eastAsia="Georgia" w:hAnsi="Georgia"/>
          <w:color w:val="232B31"/>
          <w:sz w:val="21"/>
          <w:szCs w:val="21"/>
        </w:rPr>
        <w:t xml:space="preserve">linked_accounts.balance held integer kobo while the project standard is Naira as numeric(12,2). The migration widens, divides, rounds and narrows the column, recording the conversion in a one-shot data_migrations ledger so the destructive backfill cannot run twice. A column comment now states the invariant. process-payment rejects sub-kobo precision rather than rounding silently.</w:t>
      </w:r>
    </w:p>
    <w:p>
      <w:pPr>
        <w:spacing w:after="100" w:before="240"/>
      </w:pPr>
      <w:r>
        <w:rPr>
          <w:rFonts w:ascii="Arial" w:cs="Arial" w:eastAsia="Arial" w:hAnsi="Arial"/>
          <w:b/>
          <w:bCs/>
          <w:color w:val="1C9E63"/>
          <w:spacing w:val="20"/>
          <w:sz w:val="17"/>
          <w:szCs w:val="17"/>
        </w:rPr>
        <w:t xml:space="preserve">TD-11  NO RATE LIMITING</w:t>
      </w:r>
    </w:p>
    <w:p>
      <w:pPr>
        <w:spacing w:after="160" w:line="276"/>
        <w:jc w:val="both"/>
      </w:pPr>
      <w:r>
        <w:rPr>
          <w:rFonts w:ascii="Georgia" w:cs="Georgia" w:eastAsia="Georgia" w:hAnsi="Georgia"/>
          <w:color w:val="232B31"/>
          <w:sz w:val="21"/>
          <w:szCs w:val="21"/>
        </w:rPr>
        <w:t xml:space="preserve">A rate_limits table and a consume_rate_limit fixed-window function now exist, service-role only, as the project rules require on every backend integration.</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Unverified.  </w:t>
      </w:r>
      <w:r>
        <w:rPr>
          <w:rFonts w:ascii="Georgia" w:cs="Georgia" w:eastAsia="Georgia" w:hAnsi="Georgia"/>
          <w:i/>
          <w:iCs/>
          <w:color w:val="46525A"/>
          <w:sz w:val="19"/>
          <w:szCs w:val="19"/>
        </w:rPr>
        <w:t xml:space="preserve">The mechanism exists. Whether each Edge Function actually calls it, and with what limits, was not confirmed in this pass.</w:t>
      </w:r>
    </w:p>
    <w:p>
      <w:pPr>
        <w:spacing w:after="100" w:before="240"/>
      </w:pPr>
      <w:r>
        <w:rPr>
          <w:rFonts w:ascii="Arial" w:cs="Arial" w:eastAsia="Arial" w:hAnsi="Arial"/>
          <w:b/>
          <w:bCs/>
          <w:color w:val="1C9E63"/>
          <w:spacing w:val="20"/>
          <w:sz w:val="17"/>
          <w:szCs w:val="17"/>
        </w:rPr>
        <w:t xml:space="preserve">TD-12  PIN THRESHOLD WRITTEN TO TWO TABLES INCONSISTENTLY</w:t>
      </w:r>
    </w:p>
    <w:p>
      <w:pPr>
        <w:spacing w:after="160" w:line="276"/>
        <w:jc w:val="both"/>
      </w:pPr>
      <w:r>
        <w:rPr>
          <w:rFonts w:ascii="Georgia" w:cs="Georgia" w:eastAsia="Georgia" w:hAnsi="Georgia"/>
          <w:color w:val="232B31"/>
          <w:sz w:val="21"/>
          <w:szCs w:val="21"/>
        </w:rPr>
        <w:t xml:space="preserve">The app wrote customers and users separately; row-level security blocked the customers write for a customer login, so the update half-applied and the Edge Functions — which read customers first — kept the old threshold. set_pin_threshold is now the single authoritative path, and it clamps the threshold to the tier’s single-transaction cap so a customer cannot disable the PIN challenge by raising it above their own limit. Direct UPDATE on users is revoked except for a narrow column list, so a customer cannot raise their own KYC tier.</w:t>
      </w:r>
    </w:p>
    <w:p>
      <w:pPr>
        <w:pBdr>
          <w:bottom w:val="single" w:color="1C9E63" w:sz="6" w:space="6"/>
        </w:pBdr>
        <w:spacing w:after="200" w:before="420"/>
      </w:pPr>
      <w:r>
        <w:rPr>
          <w:rFonts w:ascii="Arial" w:cs="Arial" w:eastAsia="Arial" w:hAnsi="Arial"/>
          <w:b/>
          <w:bCs/>
          <w:color w:val="263E4F"/>
          <w:sz w:val="26"/>
          <w:szCs w:val="26"/>
        </w:rPr>
        <w:t xml:space="preserve">Part Two — Open</w:t>
      </w:r>
    </w:p>
    <w:p>
      <w:pPr>
        <w:spacing w:after="100" w:before="240"/>
      </w:pPr>
      <w:r>
        <w:rPr>
          <w:rFonts w:ascii="Arial" w:cs="Arial" w:eastAsia="Arial" w:hAnsi="Arial"/>
          <w:b/>
          <w:bCs/>
          <w:color w:val="1C9E63"/>
          <w:spacing w:val="20"/>
          <w:sz w:val="17"/>
          <w:szCs w:val="17"/>
        </w:rPr>
        <w:t xml:space="preserve">TD-13  NO MONEY MOVES  ·  CRITICAL  ·  BLOCKS PILOT</w:t>
      </w:r>
    </w:p>
    <w:p>
      <w:pPr>
        <w:spacing w:after="160" w:line="276"/>
        <w:jc w:val="both"/>
      </w:pPr>
      <w:r>
        <w:rPr>
          <w:rFonts w:ascii="Georgia" w:cs="Georgia" w:eastAsia="Georgia" w:hAnsi="Georgia"/>
          <w:color w:val="232B31"/>
          <w:sz w:val="21"/>
          <w:szCs w:val="21"/>
        </w:rPr>
        <w:t xml:space="preserve">This is the single largest gap in the platform. process-payment resolves the merchant, matches the palm, enforces every limit, computes the platform fee and the net merchant amount, writes the transaction with status “success” and returns an approval with an auth code and a printable receipt. At no point does it call Mono, or any other rail, to debit the customer or settle the merchant.</w:t>
      </w:r>
    </w:p>
    <w:p>
      <w:pPr>
        <w:spacing w:after="160" w:line="276"/>
        <w:jc w:val="both"/>
      </w:pPr>
      <w:r>
        <w:rPr>
          <w:rFonts w:ascii="Georgia" w:cs="Georgia" w:eastAsia="Georgia" w:hAnsi="Georgia"/>
          <w:color w:val="232B31"/>
          <w:sz w:val="21"/>
          <w:szCs w:val="21"/>
        </w:rPr>
        <w:t xml:space="preserve">Everything around the payment is real. The payment is not. Until a debit is executed and reconciled, a MiliPay receipt records an intention rather than a transfer, and the 1.5 percent is calculated but never collected.</w:t>
      </w:r>
    </w:p>
    <w:p>
      <w:pPr>
        <w:spacing w:after="100" w:before="240"/>
      </w:pPr>
      <w:r>
        <w:rPr>
          <w:rFonts w:ascii="Arial" w:cs="Arial" w:eastAsia="Arial" w:hAnsi="Arial"/>
          <w:b/>
          <w:bCs/>
          <w:color w:val="1C9E63"/>
          <w:spacing w:val="20"/>
          <w:sz w:val="17"/>
          <w:szCs w:val="17"/>
        </w:rPr>
        <w:t xml:space="preserve">TD-14  THE MATCHING SERVICE DOES NOT EXIST IN THIS REPOSITORY  ·  CRITICAL  ·  BLOCKS PILOT</w:t>
      </w:r>
    </w:p>
    <w:p>
      <w:pPr>
        <w:spacing w:after="160" w:line="276"/>
        <w:jc w:val="both"/>
      </w:pPr>
      <w:r>
        <w:rPr>
          <w:rFonts w:ascii="Georgia" w:cs="Georgia" w:eastAsia="Georgia" w:hAnsi="Georgia"/>
          <w:color w:val="232B31"/>
          <w:sz w:val="21"/>
          <w:szCs w:val="21"/>
        </w:rPr>
        <w:t xml:space="preserve">biometrics.ts is a correct and safe client for a service that has to be built and deployed separately: a C++ microservice holding BYTEA templates in memory and executing CompareFeaturesScore against the Linux SDK. Until PALM_MATCH_URL points at a running matcher, every card-present payment declines with BIOMETRIC_SERVICE_UNAVAILABLE.</w:t>
      </w:r>
    </w:p>
    <w:p>
      <w:pPr>
        <w:spacing w:after="160" w:line="276"/>
        <w:jc w:val="both"/>
      </w:pPr>
      <w:r>
        <w:rPr>
          <w:rFonts w:ascii="Georgia" w:cs="Georgia" w:eastAsia="Georgia" w:hAnsi="Georgia"/>
          <w:color w:val="232B31"/>
          <w:sz w:val="21"/>
          <w:szCs w:val="21"/>
        </w:rPr>
        <w:t xml:space="preserve">The first number to publish once it exists is a measured first-attempt match rate from real hardware in a real shop. The vendor’s 450ms figure is a specification, not a result.</w:t>
      </w:r>
    </w:p>
    <w:p>
      <w:pPr>
        <w:spacing w:after="100" w:before="240"/>
      </w:pPr>
      <w:r>
        <w:rPr>
          <w:rFonts w:ascii="Arial" w:cs="Arial" w:eastAsia="Arial" w:hAnsi="Arial"/>
          <w:b/>
          <w:bCs/>
          <w:color w:val="1C9E63"/>
          <w:spacing w:val="20"/>
          <w:sz w:val="17"/>
          <w:szCs w:val="17"/>
        </w:rPr>
        <w:t xml:space="preserve">TD-15  BIOMETRIC TEMPLATES ARE NOT ENCRYPTED AT THE APPLICATION LAYER  ·  HIGH  ·  BLOCKS REAL ENROLMENT</w:t>
      </w:r>
    </w:p>
    <w:p>
      <w:pPr>
        <w:spacing w:after="160" w:line="276"/>
        <w:jc w:val="both"/>
      </w:pPr>
      <w:r>
        <w:rPr>
          <w:rFonts w:ascii="Georgia" w:cs="Georgia" w:eastAsia="Georgia" w:hAnsi="Georgia"/>
          <w:color w:val="232B31"/>
          <w:sz w:val="21"/>
          <w:szCs w:val="21"/>
        </w:rPr>
        <w:t xml:space="preserve">Templates are stored as BYTEA in the project database and, correctly, never sent to the vendor’s demo cloud. They are not separately encrypted above the database layer, and no access audit log was found. Both should be in place before a single real customer palm is captured, alongside an independent security review closing with no critical findings.</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This is the item to hold the line on.  </w:t>
      </w:r>
      <w:r>
        <w:rPr>
          <w:rFonts w:ascii="Georgia" w:cs="Georgia" w:eastAsia="Georgia" w:hAnsi="Georgia"/>
          <w:i/>
          <w:iCs/>
          <w:color w:val="46525A"/>
          <w:sz w:val="19"/>
          <w:szCs w:val="19"/>
        </w:rPr>
        <w:t xml:space="preserve">Every other gap here costs money or time. This one costs a person their biometric identity, which cannot be reissued. A palm is not a password.</w:t>
      </w:r>
    </w:p>
    <w:p>
      <w:pPr>
        <w:spacing w:after="100" w:before="240"/>
      </w:pPr>
      <w:r>
        <w:rPr>
          <w:rFonts w:ascii="Arial" w:cs="Arial" w:eastAsia="Arial" w:hAnsi="Arial"/>
          <w:b/>
          <w:bCs/>
          <w:color w:val="1C9E63"/>
          <w:spacing w:val="20"/>
          <w:sz w:val="17"/>
          <w:szCs w:val="17"/>
        </w:rPr>
        <w:t xml:space="preserve">TD-16  NIN IS RECORDED, NOT VERIFIED  ·  HIGH</w:t>
      </w:r>
    </w:p>
    <w:p>
      <w:pPr>
        <w:spacing w:after="160" w:line="276"/>
        <w:jc w:val="both"/>
      </w:pPr>
      <w:r>
        <w:rPr>
          <w:rFonts w:ascii="Georgia" w:cs="Georgia" w:eastAsia="Georgia" w:hAnsi="Georgia"/>
          <w:color w:val="232B31"/>
          <w:sz w:val="21"/>
          <w:szCs w:val="21"/>
        </w:rPr>
        <w:t xml:space="preserve">Enrolment captures the National Identification Number as entered by the agent. There is no verification against NIMC. This is enrolment-fraud exposure and it sits directly on the trust boundary the field agent occupies.</w:t>
      </w:r>
    </w:p>
    <w:p>
      <w:pPr>
        <w:spacing w:after="100" w:before="240"/>
      </w:pPr>
      <w:r>
        <w:rPr>
          <w:rFonts w:ascii="Arial" w:cs="Arial" w:eastAsia="Arial" w:hAnsi="Arial"/>
          <w:b/>
          <w:bCs/>
          <w:color w:val="1C9E63"/>
          <w:spacing w:val="20"/>
          <w:sz w:val="17"/>
          <w:szCs w:val="17"/>
        </w:rPr>
        <w:t xml:space="preserve">TD-17  VTU-SERVICE SIMULATES SILENTLY WHEN CREDENTIALS ARE ABSENT  ·  HIGH</w:t>
      </w:r>
    </w:p>
    <w:p>
      <w:pPr>
        <w:spacing w:after="160" w:line="276"/>
        <w:jc w:val="both"/>
      </w:pPr>
      <w:r>
        <w:rPr>
          <w:rFonts w:ascii="Georgia" w:cs="Georgia" w:eastAsia="Georgia" w:hAnsi="Georgia"/>
          <w:color w:val="232B31"/>
          <w:sz w:val="21"/>
          <w:szCs w:val="21"/>
        </w:rPr>
        <w:t xml:space="preserve">Recorded in version 1.0: with VTPass keys missing, the service debited the customer, returned a fabricated token and raised no error. Whether the September work changed this was not confirmed. One configuration mistake in production would take money and deliver nothing.</w:t>
      </w:r>
    </w:p>
    <w:p>
      <w:pPr>
        <w:spacing w:after="100" w:before="240"/>
      </w:pPr>
      <w:r>
        <w:rPr>
          <w:rFonts w:ascii="Arial" w:cs="Arial" w:eastAsia="Arial" w:hAnsi="Arial"/>
          <w:b/>
          <w:bCs/>
          <w:color w:val="1C9E63"/>
          <w:spacing w:val="20"/>
          <w:sz w:val="17"/>
          <w:szCs w:val="17"/>
        </w:rPr>
        <w:t xml:space="preserve">TD-18  NO BREACH RECONSTRUCTION  ·  MEDIUM</w:t>
      </w:r>
    </w:p>
    <w:p>
      <w:pPr>
        <w:spacing w:after="160" w:line="276"/>
        <w:jc w:val="both"/>
      </w:pPr>
      <w:r>
        <w:rPr>
          <w:rFonts w:ascii="Georgia" w:cs="Georgia" w:eastAsia="Georgia" w:hAnsi="Georgia"/>
          <w:color w:val="232B31"/>
          <w:sz w:val="21"/>
          <w:szCs w:val="21"/>
        </w:rPr>
        <w:t xml:space="preserve">There is no audit log of access to customer, biometric or transaction data. In an incident the company could not say what was accessed or by whom. The honest answer to an investor asking what happens if you are breached is currently that we could not fully reconstruct it.</w:t>
      </w:r>
    </w:p>
    <w:p>
      <w:pPr>
        <w:spacing w:after="100" w:before="240"/>
      </w:pPr>
      <w:r>
        <w:rPr>
          <w:rFonts w:ascii="Arial" w:cs="Arial" w:eastAsia="Arial" w:hAnsi="Arial"/>
          <w:b/>
          <w:bCs/>
          <w:color w:val="1C9E63"/>
          <w:spacing w:val="20"/>
          <w:sz w:val="17"/>
          <w:szCs w:val="17"/>
        </w:rPr>
        <w:t xml:space="preserve">TD-19  THE README OVERSTATES REGULATORY STANDING  ·  MEDIUM</w:t>
      </w:r>
    </w:p>
    <w:p>
      <w:pPr>
        <w:spacing w:after="160" w:line="276"/>
        <w:jc w:val="both"/>
      </w:pPr>
      <w:r>
        <w:rPr>
          <w:rFonts w:ascii="Georgia" w:cs="Georgia" w:eastAsia="Georgia" w:hAnsi="Georgia"/>
          <w:color w:val="232B31"/>
          <w:sz w:val="21"/>
          <w:szCs w:val="21"/>
        </w:rPr>
        <w:t xml:space="preserve">The repository README carries a badge reading “NDPA &amp; CBN Certified” and states 100 percent compliance with CBN biometric guidelines. Neither certification has been obtained nor applied for. This is the kind of claim that damages credibility disproportionately when found by someone else, and it should be corrected before the repository is shared.</w:t>
      </w:r>
    </w:p>
    <w:p>
      <w:pPr>
        <w:pBdr>
          <w:bottom w:val="single" w:color="1C9E63" w:sz="6" w:space="6"/>
        </w:pBdr>
        <w:spacing w:after="200" w:before="420"/>
      </w:pPr>
      <w:r>
        <w:rPr>
          <w:rFonts w:ascii="Arial" w:cs="Arial" w:eastAsia="Arial" w:hAnsi="Arial"/>
          <w:b/>
          <w:bCs/>
          <w:color w:val="263E4F"/>
          <w:sz w:val="26"/>
          <w:szCs w:val="26"/>
        </w:rPr>
        <w:t xml:space="preserve">Sequencing</w:t>
      </w:r>
    </w:p>
    <w:p>
      <w:pPr>
        <w:spacing w:after="160" w:line="276"/>
        <w:jc w:val="both"/>
      </w:pPr>
      <w:r>
        <w:rPr>
          <w:rFonts w:ascii="Georgia" w:cs="Georgia" w:eastAsia="Georgia" w:hAnsi="Georgia"/>
          <w:color w:val="232B31"/>
          <w:sz w:val="21"/>
          <w:szCs w:val="21"/>
        </w:rPr>
        <w:t xml:space="preserve">Two items block the pilot and nothing else can substitute for them: the debit rail and the matching service. They are independent and can run in parallel.</w:t>
      </w:r>
    </w:p>
    <w:p>
      <w:pPr>
        <w:spacing w:after="160" w:line="276"/>
        <w:jc w:val="both"/>
      </w:pPr>
      <w:r>
        <w:rPr>
          <w:rFonts w:ascii="Georgia" w:cs="Georgia" w:eastAsia="Georgia" w:hAnsi="Georgia"/>
          <w:color w:val="232B31"/>
          <w:sz w:val="21"/>
          <w:szCs w:val="21"/>
        </w:rPr>
        <w:t xml:space="preserve">Before any real biometric is captured, TD-15 and TD-16 must close and an independent security review must pass. That gate is not negotiable on a timeline; it is the difference between a startup and a liability.</w:t>
      </w:r>
    </w:p>
    <w:p>
      <w:pPr>
        <w:spacing w:after="160" w:line="276"/>
        <w:jc w:val="both"/>
      </w:pPr>
      <w:r>
        <w:rPr>
          <w:rFonts w:ascii="Georgia" w:cs="Georgia" w:eastAsia="Georgia" w:hAnsi="Georgia"/>
          <w:color w:val="232B31"/>
          <w:sz w:val="21"/>
          <w:szCs w:val="21"/>
        </w:rPr>
        <w:t xml:space="preserve">The remaining items are ordinary engineering work and can be sequenced against whatever the pilot demands. TD-19 takes ten minutes and should be done today.</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Prepared as part of the MiliPay documentation programme, 20 September 2026, from a direct read of the repository at that date. Items marked Unverified require a code check before they are relied upon.</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Technical Debt Register</dc:title>
  <dc:creator>MiliPay</dc:creator>
  <dc:description>ENG-006 · Version 2.0 · Confidential</dc:description>
  <cp:lastModifiedBy>Un-named</cp:lastModifiedBy>
  <cp:revision>1</cp:revision>
  <dcterms:created xsi:type="dcterms:W3CDTF">2026-09-20T11:50:02.773Z</dcterms:created>
  <dcterms:modified xsi:type="dcterms:W3CDTF">2026-09-20T11:50:02.773Z</dcterms:modified>
</cp:coreProperties>
</file>

<file path=docProps/custom.xml><?xml version="1.0" encoding="utf-8"?>
<Properties xmlns="http://schemas.openxmlformats.org/officeDocument/2006/custom-properties" xmlns:vt="http://schemas.openxmlformats.org/officeDocument/2006/docPropsVTypes"/>
</file>