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900"/>
      </w:pPr>
      <w:r>
        <w:drawing>
          <wp:inline distT="0" distB="0" distL="0" distR="0">
            <wp:extent cx="22288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28850" cy="504825"/>
                    </a:xfrm>
                    <a:prstGeom prst="rect">
                      <a:avLst/>
                    </a:prstGeom>
                  </pic:spPr>
                </pic:pic>
              </a:graphicData>
            </a:graphic>
          </wp:inline>
        </w:drawing>
      </w:r>
    </w:p>
    <w:p>
      <w:pPr>
        <w:spacing w:after="140" w:line="400"/>
      </w:pPr>
      <w:r>
        <w:rPr>
          <w:rFonts w:ascii="Arial" w:cs="Arial" w:eastAsia="Arial" w:hAnsi="Arial"/>
          <w:b/>
          <w:bCs/>
          <w:color w:val="263E4F"/>
          <w:sz w:val="52"/>
          <w:szCs w:val="52"/>
        </w:rPr>
        <w:t xml:space="preserve">Mutual</w:t>
      </w:r>
      <w:r>
        <w:rPr>
          <w:rFonts w:ascii="Arial" w:cs="Arial" w:eastAsia="Arial" w:hAnsi="Arial"/>
          <w:b/>
          <w:bCs/>
          <w:color w:val="263E4F"/>
          <w:sz w:val="52"/>
          <w:szCs w:val="52"/>
        </w:rPr>
        <w:br/>
        <w:t xml:space="preserve">Non-Disclosure</w:t>
      </w:r>
      <w:r>
        <w:rPr>
          <w:rFonts w:ascii="Arial" w:cs="Arial" w:eastAsia="Arial" w:hAnsi="Arial"/>
          <w:b/>
          <w:bCs/>
          <w:color w:val="263E4F"/>
          <w:sz w:val="52"/>
          <w:szCs w:val="52"/>
        </w:rPr>
        <w:br/>
        <w:t xml:space="preserve">Agreement</w:t>
      </w:r>
    </w:p>
    <w:p>
      <w:pPr>
        <w:pBdr>
          <w:bottom w:val="single" w:color="1C9E63" w:sz="12" w:space="10"/>
        </w:pBdr>
        <w:spacing w:after="520"/>
      </w:pPr>
    </w:p>
    <w:p>
      <w:pPr>
        <w:spacing w:after="520"/>
      </w:pPr>
      <w:r>
        <w:rPr>
          <w:rFonts w:ascii="Georgia" w:cs="Georgia" w:eastAsia="Georgia" w:hAnsi="Georgia"/>
          <w:i/>
          <w:iCs/>
          <w:color w:val="3C474F"/>
          <w:sz w:val="22"/>
          <w:szCs w:val="22"/>
        </w:rPr>
        <w:t xml:space="preserve">For investors, hardware and technology vendors, bank and switch partners, merchant pilots, and advisers engaged before a fuller agreement is in place.</w:t>
      </w:r>
    </w:p>
    <w:p>
      <w:pPr>
        <w:spacing w:after="60"/>
      </w:pPr>
      <w:r>
        <w:rPr>
          <w:rFonts w:ascii="Arial" w:cs="Arial" w:eastAsia="Arial" w:hAnsi="Arial"/>
          <w:b/>
          <w:bCs/>
          <w:color w:val="6B7780"/>
          <w:spacing w:val="24"/>
          <w:sz w:val="15"/>
          <w:szCs w:val="15"/>
        </w:rPr>
        <w:t xml:space="preserve">DOCUMENT   </w:t>
      </w:r>
      <w:r>
        <w:rPr>
          <w:rFonts w:ascii="Arial" w:cs="Arial" w:eastAsia="Arial" w:hAnsi="Arial"/>
          <w:color w:val="263E4F"/>
          <w:sz w:val="18"/>
          <w:szCs w:val="18"/>
        </w:rPr>
        <w:t xml:space="preserve">LEG-001</w:t>
      </w:r>
    </w:p>
    <w:p>
      <w:pPr>
        <w:spacing w:after="60"/>
      </w:pPr>
      <w:r>
        <w:rPr>
          <w:rFonts w:ascii="Arial" w:cs="Arial" w:eastAsia="Arial" w:hAnsi="Arial"/>
          <w:b/>
          <w:bCs/>
          <w:color w:val="6B7780"/>
          <w:spacing w:val="24"/>
          <w:sz w:val="15"/>
          <w:szCs w:val="15"/>
        </w:rPr>
        <w:t xml:space="preserve">VERSION   </w:t>
      </w:r>
      <w:r>
        <w:rPr>
          <w:rFonts w:ascii="Arial" w:cs="Arial" w:eastAsia="Arial" w:hAnsi="Arial"/>
          <w:color w:val="263E4F"/>
          <w:sz w:val="18"/>
          <w:szCs w:val="18"/>
        </w:rPr>
        <w:t xml:space="preserve">1.0 — Template</w:t>
      </w:r>
    </w:p>
    <w:p>
      <w:pPr>
        <w:spacing w:after="60"/>
      </w:pPr>
      <w:r>
        <w:rPr>
          <w:rFonts w:ascii="Arial" w:cs="Arial" w:eastAsia="Arial" w:hAnsi="Arial"/>
          <w:b/>
          <w:bCs/>
          <w:color w:val="6B7780"/>
          <w:spacing w:val="24"/>
          <w:sz w:val="15"/>
          <w:szCs w:val="15"/>
        </w:rPr>
        <w:t xml:space="preserve">DATE   </w:t>
      </w:r>
      <w:r>
        <w:rPr>
          <w:rFonts w:ascii="Arial" w:cs="Arial" w:eastAsia="Arial" w:hAnsi="Arial"/>
          <w:color w:val="263E4F"/>
          <w:sz w:val="18"/>
          <w:szCs w:val="18"/>
        </w:rPr>
        <w:t xml:space="preserve">19 September 2026</w:t>
      </w:r>
    </w:p>
    <w:p>
      <w:pPr>
        <w:spacing w:after="60"/>
      </w:pPr>
      <w:r>
        <w:rPr>
          <w:rFonts w:ascii="Arial" w:cs="Arial" w:eastAsia="Arial" w:hAnsi="Arial"/>
          <w:b/>
          <w:bCs/>
          <w:color w:val="6B7780"/>
          <w:spacing w:val="24"/>
          <w:sz w:val="15"/>
          <w:szCs w:val="15"/>
        </w:rPr>
        <w:t xml:space="preserve">CLASSIFICATION   </w:t>
      </w:r>
      <w:r>
        <w:rPr>
          <w:rFonts w:ascii="Arial" w:cs="Arial" w:eastAsia="Arial" w:hAnsi="Arial"/>
          <w:color w:val="263E4F"/>
          <w:sz w:val="18"/>
          <w:szCs w:val="18"/>
        </w:rPr>
        <w:t xml:space="preserve">Confidential</w:t>
      </w:r>
    </w:p>
    <w:p>
      <w:r>
        <w:br w:type="page"/>
      </w:r>
    </w:p>
    <w:p>
      <w:pPr>
        <w:pBdr>
          <w:bottom w:val="single" w:color="1C9E63" w:sz="6" w:space="6"/>
        </w:pBdr>
        <w:spacing w:after="200" w:before="420"/>
      </w:pPr>
      <w:r>
        <w:rPr>
          <w:rFonts w:ascii="Arial" w:cs="Arial" w:eastAsia="Arial" w:hAnsi="Arial"/>
          <w:b/>
          <w:bCs/>
          <w:color w:val="263E4F"/>
          <w:sz w:val="26"/>
          <w:szCs w:val="26"/>
        </w:rPr>
        <w:t xml:space="preserve">Before you use this</w:t>
      </w:r>
    </w:p>
    <w:p>
      <w:pPr>
        <w:spacing w:after="160" w:line="276"/>
        <w:jc w:val="both"/>
      </w:pPr>
      <w:r>
        <w:rPr>
          <w:rFonts w:ascii="Georgia" w:cs="Georgia" w:eastAsia="Georgia" w:hAnsi="Georgia"/>
          <w:color w:val="232B31"/>
          <w:sz w:val="21"/>
          <w:szCs w:val="21"/>
        </w:rPr>
        <w:t xml:space="preserve">This is a drafting template, not legal advice. It was prepared to give MiliPay a competent starting point so that engaging a Nigerian lawyer is a review exercise rather than a drafting exercise, which is faster and cheaper. It has not been reviewed by a qualified legal practitioner and it should not be signed in its current form for anything that matters.</w:t>
      </w:r>
    </w:p>
    <w:p>
      <w:pPr>
        <w:spacing w:after="160" w:line="276"/>
        <w:jc w:val="both"/>
      </w:pPr>
      <w:r>
        <w:rPr>
          <w:rFonts w:ascii="Georgia" w:cs="Georgia" w:eastAsia="Georgia" w:hAnsi="Georgia"/>
          <w:color w:val="232B31"/>
          <w:sz w:val="21"/>
          <w:szCs w:val="21"/>
        </w:rPr>
        <w:t xml:space="preserve">Have a Nigerian commercial lawyer review it before first use, and re-review it whenever MiliPay’s circumstances change materially — incorporation, a licence application, a bank agreement, or the first real biometric enrolment.</w:t>
      </w:r>
    </w:p>
    <w:p>
      <w:pPr>
        <w:spacing w:after="120" w:before="300"/>
      </w:pPr>
      <w:r>
        <w:rPr>
          <w:rFonts w:ascii="Arial" w:cs="Arial" w:eastAsia="Arial" w:hAnsi="Arial"/>
          <w:b/>
          <w:bCs/>
          <w:color w:val="263E4F"/>
          <w:sz w:val="22"/>
          <w:szCs w:val="22"/>
        </w:rPr>
        <w:t xml:space="preserve">Use this agreement when</w:t>
      </w:r>
    </w:p>
    <w:p>
      <w:pPr>
        <w:spacing w:after="160" w:line="276"/>
        <w:jc w:val="both"/>
      </w:pPr>
      <w:r>
        <w:rPr>
          <w:rFonts w:ascii="Georgia" w:cs="Georgia" w:eastAsia="Georgia" w:hAnsi="Georgia"/>
          <w:color w:val="232B31"/>
          <w:sz w:val="21"/>
          <w:szCs w:val="21"/>
        </w:rPr>
        <w:t xml:space="preserve">Talking to a prospective investor beyond a pitch deck, evaluating a hardware or technology vendor, exploring a bank or switch partnership, discussing a merchant pilot, or bringing in an adviser or contractor before a fuller agreement is in place.</w:t>
      </w:r>
    </w:p>
    <w:p>
      <w:pPr>
        <w:spacing w:after="120" w:before="300"/>
      </w:pPr>
      <w:r>
        <w:rPr>
          <w:rFonts w:ascii="Arial" w:cs="Arial" w:eastAsia="Arial" w:hAnsi="Arial"/>
          <w:b/>
          <w:bCs/>
          <w:color w:val="263E4F"/>
          <w:sz w:val="22"/>
          <w:szCs w:val="22"/>
        </w:rPr>
        <w:t xml:space="preserve">Do not rely on this agreement for</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Employees and contractors who will create intellectual property — they need LEG-003.</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Co-founders — they need LEG-002.</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Any arrangement where the other side will process customer personal data — that needs a data processing agreement drafted around the Nigeria Data Protection Act 2023.</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Before sending.  </w:t>
      </w:r>
      <w:r>
        <w:rPr>
          <w:rFonts w:ascii="Georgia" w:cs="Georgia" w:eastAsia="Georgia" w:hAnsi="Georgia"/>
          <w:i/>
          <w:iCs/>
          <w:color w:val="46525A"/>
          <w:sz w:val="19"/>
          <w:szCs w:val="19"/>
        </w:rPr>
        <w:t xml:space="preserve">Fields to complete are shown in square brackets. Delete this entire section, and every drafting note, before the agreement goes to a counterparty.</w:t>
      </w:r>
    </w:p>
    <w:p>
      <w:pPr>
        <w:pBdr>
          <w:bottom w:val="single" w:color="1C9E63" w:sz="6" w:space="6"/>
        </w:pBdr>
        <w:spacing w:after="200" w:before="420"/>
      </w:pPr>
      <w:r>
        <w:rPr>
          <w:rFonts w:ascii="Arial" w:cs="Arial" w:eastAsia="Arial" w:hAnsi="Arial"/>
          <w:b/>
          <w:bCs/>
          <w:color w:val="263E4F"/>
          <w:sz w:val="26"/>
          <w:szCs w:val="26"/>
        </w:rPr>
        <w:t xml:space="preserve">Mutual Non-Disclosure Agreement</w:t>
      </w:r>
    </w:p>
    <w:p>
      <w:pPr>
        <w:spacing w:after="160" w:line="276"/>
        <w:jc w:val="both"/>
      </w:pPr>
      <w:r>
        <w:rPr>
          <w:rFonts w:ascii="Georgia" w:cs="Georgia" w:eastAsia="Georgia" w:hAnsi="Georgia"/>
          <w:color w:val="232B31"/>
          <w:sz w:val="21"/>
          <w:szCs w:val="21"/>
        </w:rPr>
        <w:t xml:space="preserve">This Agreement is made on [DATE]</w:t>
      </w:r>
    </w:p>
    <w:p>
      <w:pPr>
        <w:spacing w:after="120" w:before="300"/>
      </w:pPr>
      <w:r>
        <w:rPr>
          <w:rFonts w:ascii="Arial" w:cs="Arial" w:eastAsia="Arial" w:hAnsi="Arial"/>
          <w:b/>
          <w:bCs/>
          <w:color w:val="263E4F"/>
          <w:sz w:val="22"/>
          <w:szCs w:val="22"/>
        </w:rPr>
        <w:t xml:space="preserve">Between</w:t>
      </w:r>
    </w:p>
    <w:p>
      <w:pPr>
        <w:spacing w:after="160" w:line="276"/>
        <w:jc w:val="both"/>
      </w:pPr>
      <w:r>
        <w:rPr>
          <w:rFonts w:ascii="Georgia" w:cs="Georgia" w:eastAsia="Georgia" w:hAnsi="Georgia"/>
          <w:color w:val="232B31"/>
          <w:sz w:val="21"/>
          <w:szCs w:val="21"/>
        </w:rPr>
        <w:t xml:space="preserve">[MILIPAY LEGAL ENTITY NAME], a company incorporated in the Federal Republic of Nigeria under the Companies and Allied Matters Act 2020 with registration number [RC NUMBER], whose registered office is at [ADDRESS] (“MiliPay”);</w:t>
      </w:r>
    </w:p>
    <w:p>
      <w:pPr>
        <w:spacing w:after="120" w:before="300"/>
      </w:pPr>
      <w:r>
        <w:rPr>
          <w:rFonts w:ascii="Arial" w:cs="Arial" w:eastAsia="Arial" w:hAnsi="Arial"/>
          <w:b/>
          <w:bCs/>
          <w:color w:val="263E4F"/>
          <w:sz w:val="22"/>
          <w:szCs w:val="22"/>
        </w:rPr>
        <w:t xml:space="preserve">And</w:t>
      </w:r>
    </w:p>
    <w:p>
      <w:pPr>
        <w:spacing w:after="160" w:line="276"/>
        <w:jc w:val="both"/>
      </w:pPr>
      <w:r>
        <w:rPr>
          <w:rFonts w:ascii="Georgia" w:cs="Georgia" w:eastAsia="Georgia" w:hAnsi="Georgia"/>
          <w:color w:val="232B31"/>
          <w:sz w:val="21"/>
          <w:szCs w:val="21"/>
        </w:rPr>
        <w:t xml:space="preserve">[COUNTERPARTY LEGAL NAME], [a company incorporated in [JURISDICTION] with registration number [NUMBER], whose registered office is at [ADDRESS] / an individual of [ADDRESS]] (the “Counterparty”).</w:t>
      </w:r>
    </w:p>
    <w:p>
      <w:pPr>
        <w:spacing w:after="160" w:line="276"/>
        <w:jc w:val="both"/>
      </w:pPr>
      <w:r>
        <w:rPr>
          <w:rFonts w:ascii="Georgia" w:cs="Georgia" w:eastAsia="Georgia" w:hAnsi="Georgia"/>
          <w:color w:val="232B31"/>
          <w:sz w:val="21"/>
          <w:szCs w:val="21"/>
        </w:rPr>
        <w:t xml:space="preserve">Each a “Party” and together the “Parties”.</w:t>
      </w:r>
    </w:p>
    <w:p>
      <w:pPr>
        <w:spacing w:after="120" w:before="300"/>
      </w:pPr>
      <w:r>
        <w:rPr>
          <w:rFonts w:ascii="Arial" w:cs="Arial" w:eastAsia="Arial" w:hAnsi="Arial"/>
          <w:b/>
          <w:bCs/>
          <w:color w:val="263E4F"/>
          <w:sz w:val="22"/>
          <w:szCs w:val="22"/>
        </w:rPr>
        <w:t xml:space="preserve">Background</w:t>
      </w:r>
    </w:p>
    <w:p>
      <w:pPr>
        <w:spacing w:after="160" w:line="276"/>
        <w:jc w:val="both"/>
      </w:pPr>
      <w:r>
        <w:rPr>
          <w:rFonts w:ascii="Georgia" w:cs="Georgia" w:eastAsia="Georgia" w:hAnsi="Georgia"/>
          <w:color w:val="232B31"/>
          <w:sz w:val="21"/>
          <w:szCs w:val="21"/>
        </w:rPr>
        <w:t xml:space="preserve">The Parties wish to explore [DESCRIBE THE PURPOSE PRECISELY — for example: a potential investment by the Counterparty in MiliPay / the potential supply of biometric capture hardware to MiliPay / a potential payment processing partnership] (the “Purpose”). In doing so each Party may disclose Confidential Information to the other. This Agreement governs that disclosure.</w:t>
      </w:r>
    </w:p>
    <w:p>
      <w:pPr>
        <w:spacing w:after="160" w:before="380"/>
      </w:pPr>
      <w:r>
        <w:rPr>
          <w:rFonts w:ascii="Arial" w:cs="Arial" w:eastAsia="Arial" w:hAnsi="Arial"/>
          <w:b/>
          <w:bCs/>
          <w:color w:val="1C9E63"/>
          <w:sz w:val="22"/>
          <w:szCs w:val="22"/>
        </w:rPr>
        <w:t xml:space="preserve">1.  </w:t>
      </w:r>
      <w:r>
        <w:rPr>
          <w:rFonts w:ascii="Arial" w:cs="Arial" w:eastAsia="Arial" w:hAnsi="Arial"/>
          <w:b/>
          <w:bCs/>
          <w:color w:val="263E4F"/>
          <w:sz w:val="22"/>
          <w:szCs w:val="22"/>
        </w:rPr>
        <w:t xml:space="preserve">Definitions</w:t>
      </w:r>
    </w:p>
    <w:p>
      <w:pPr>
        <w:spacing w:after="150" w:line="276"/>
        <w:ind w:left="567" w:hanging="567"/>
        <w:jc w:val="both"/>
      </w:pPr>
      <w:r>
        <w:rPr>
          <w:rFonts w:ascii="Arial" w:cs="Arial" w:eastAsia="Arial" w:hAnsi="Arial"/>
          <w:b/>
          <w:bCs/>
          <w:color w:val="263E4F"/>
          <w:sz w:val="20"/>
          <w:szCs w:val="20"/>
        </w:rPr>
        <w:t xml:space="preserve">1.1	</w:t>
      </w:r>
      <w:r>
        <w:rPr>
          <w:rFonts w:ascii="Georgia" w:cs="Georgia" w:eastAsia="Georgia" w:hAnsi="Georgia"/>
          <w:color w:val="232B31"/>
          <w:sz w:val="21"/>
          <w:szCs w:val="21"/>
        </w:rPr>
        <w:t xml:space="preserve">“Confidential Information” means any information disclosed by or on behalf of one Party (the “Discloser”) to the other (the “Recipient”) in connection with the Purpose, in any form and whether or not marked confidential, including without limitation:</w:t>
      </w:r>
    </w:p>
    <w:p>
      <w:pPr>
        <w:spacing w:after="110" w:line="272"/>
        <w:ind w:left="1020" w:hanging="400"/>
        <w:jc w:val="both"/>
      </w:pPr>
      <w:r>
        <w:rPr>
          <w:rFonts w:ascii="Georgia" w:cs="Georgia" w:eastAsia="Georgia" w:hAnsi="Georgia"/>
          <w:color w:val="232B31"/>
          <w:sz w:val="21"/>
          <w:szCs w:val="21"/>
        </w:rPr>
        <w:t xml:space="preserve">(a)  technical information: source code, system architecture, database schemas, algorithms, biometric matching methods, security arrangements, technical documentation and development plans;</w:t>
      </w:r>
    </w:p>
    <w:p>
      <w:pPr>
        <w:spacing w:after="110" w:line="272"/>
        <w:ind w:left="1020" w:hanging="400"/>
        <w:jc w:val="both"/>
      </w:pPr>
      <w:r>
        <w:rPr>
          <w:rFonts w:ascii="Georgia" w:cs="Georgia" w:eastAsia="Georgia" w:hAnsi="Georgia"/>
          <w:color w:val="232B31"/>
          <w:sz w:val="21"/>
          <w:szCs w:val="21"/>
        </w:rPr>
        <w:t xml:space="preserve">(b)  commercial information: business plans, financial information, pricing and fee structures, unit economics, funding arrangements, customer and merchant lists and pipelines, supplier and vendor terms, and marketing strategies;</w:t>
      </w:r>
    </w:p>
    <w:p>
      <w:pPr>
        <w:spacing w:after="110" w:line="272"/>
        <w:ind w:left="1020" w:hanging="400"/>
        <w:jc w:val="both"/>
      </w:pPr>
      <w:r>
        <w:rPr>
          <w:rFonts w:ascii="Georgia" w:cs="Georgia" w:eastAsia="Georgia" w:hAnsi="Georgia"/>
          <w:color w:val="232B31"/>
          <w:sz w:val="21"/>
          <w:szCs w:val="21"/>
        </w:rPr>
        <w:t xml:space="preserve">(c)  operational information: agent network arrangements, enrolment procedures, fraud controls and internal policies;</w:t>
      </w:r>
    </w:p>
    <w:p>
      <w:pPr>
        <w:spacing w:after="110" w:line="272"/>
        <w:ind w:left="1020" w:hanging="400"/>
        <w:jc w:val="both"/>
      </w:pPr>
      <w:r>
        <w:rPr>
          <w:rFonts w:ascii="Georgia" w:cs="Georgia" w:eastAsia="Georgia" w:hAnsi="Georgia"/>
          <w:color w:val="232B31"/>
          <w:sz w:val="21"/>
          <w:szCs w:val="21"/>
        </w:rPr>
        <w:t xml:space="preserve">(d)  the existence, subject matter and content of the discussions between the Parties and of this Agreement itself; and</w:t>
      </w:r>
    </w:p>
    <w:p>
      <w:pPr>
        <w:spacing w:after="110" w:line="272"/>
        <w:ind w:left="1020" w:hanging="400"/>
        <w:jc w:val="both"/>
      </w:pPr>
      <w:r>
        <w:rPr>
          <w:rFonts w:ascii="Georgia" w:cs="Georgia" w:eastAsia="Georgia" w:hAnsi="Georgia"/>
          <w:color w:val="232B31"/>
          <w:sz w:val="21"/>
          <w:szCs w:val="21"/>
        </w:rPr>
        <w:t xml:space="preserve">(e)  any analysis, compilation, note, summary or other material prepared by the Recipient that contains or is derived from information in (a) to (d).</w:t>
      </w:r>
    </w:p>
    <w:p>
      <w:pPr>
        <w:spacing w:after="150" w:line="276"/>
        <w:ind w:left="567" w:hanging="567"/>
        <w:jc w:val="both"/>
      </w:pPr>
      <w:r>
        <w:rPr>
          <w:rFonts w:ascii="Arial" w:cs="Arial" w:eastAsia="Arial" w:hAnsi="Arial"/>
          <w:b/>
          <w:bCs/>
          <w:color w:val="263E4F"/>
          <w:sz w:val="20"/>
          <w:szCs w:val="20"/>
        </w:rPr>
        <w:t xml:space="preserve">1.2	</w:t>
      </w:r>
      <w:r>
        <w:rPr>
          <w:rFonts w:ascii="Georgia" w:cs="Georgia" w:eastAsia="Georgia" w:hAnsi="Georgia"/>
          <w:color w:val="232B31"/>
          <w:sz w:val="21"/>
          <w:szCs w:val="21"/>
        </w:rPr>
        <w:t xml:space="preserve">Confidential Information does not include information which the Recipient can demonstrate by written record:</w:t>
      </w:r>
    </w:p>
    <w:p>
      <w:pPr>
        <w:spacing w:after="110" w:line="272"/>
        <w:ind w:left="1020" w:hanging="400"/>
        <w:jc w:val="both"/>
      </w:pPr>
      <w:r>
        <w:rPr>
          <w:rFonts w:ascii="Georgia" w:cs="Georgia" w:eastAsia="Georgia" w:hAnsi="Georgia"/>
          <w:color w:val="232B31"/>
          <w:sz w:val="21"/>
          <w:szCs w:val="21"/>
        </w:rPr>
        <w:t xml:space="preserve">(a)  was lawfully in its possession, free of any obligation of confidence, before disclosure by the Discloser;</w:t>
      </w:r>
    </w:p>
    <w:p>
      <w:pPr>
        <w:spacing w:after="110" w:line="272"/>
        <w:ind w:left="1020" w:hanging="400"/>
        <w:jc w:val="both"/>
      </w:pPr>
      <w:r>
        <w:rPr>
          <w:rFonts w:ascii="Georgia" w:cs="Georgia" w:eastAsia="Georgia" w:hAnsi="Georgia"/>
          <w:color w:val="232B31"/>
          <w:sz w:val="21"/>
          <w:szCs w:val="21"/>
        </w:rPr>
        <w:t xml:space="preserve">(b)  is or becomes public other than through a breach of this Agreement or any other obligation of confidence;</w:t>
      </w:r>
    </w:p>
    <w:p>
      <w:pPr>
        <w:spacing w:after="110" w:line="272"/>
        <w:ind w:left="1020" w:hanging="400"/>
        <w:jc w:val="both"/>
      </w:pPr>
      <w:r>
        <w:rPr>
          <w:rFonts w:ascii="Georgia" w:cs="Georgia" w:eastAsia="Georgia" w:hAnsi="Georgia"/>
          <w:color w:val="232B31"/>
          <w:sz w:val="21"/>
          <w:szCs w:val="21"/>
        </w:rPr>
        <w:t xml:space="preserve">(c)  is lawfully received from a third party entitled to disclose it without restriction; or</w:t>
      </w:r>
    </w:p>
    <w:p>
      <w:pPr>
        <w:spacing w:after="110" w:line="272"/>
        <w:ind w:left="1020" w:hanging="400"/>
        <w:jc w:val="both"/>
      </w:pPr>
      <w:r>
        <w:rPr>
          <w:rFonts w:ascii="Georgia" w:cs="Georgia" w:eastAsia="Georgia" w:hAnsi="Georgia"/>
          <w:color w:val="232B31"/>
          <w:sz w:val="21"/>
          <w:szCs w:val="21"/>
        </w:rPr>
        <w:t xml:space="preserve">(d)  was independently developed by the Recipient without use of or reference to the Discloser’s Confidential Information.</w:t>
      </w:r>
    </w:p>
    <w:p>
      <w:pPr>
        <w:spacing w:after="150" w:line="276"/>
        <w:ind w:left="567" w:hanging="567"/>
        <w:jc w:val="both"/>
      </w:pPr>
      <w:r>
        <w:rPr>
          <w:rFonts w:ascii="Arial" w:cs="Arial" w:eastAsia="Arial" w:hAnsi="Arial"/>
          <w:b/>
          <w:bCs/>
          <w:color w:val="263E4F"/>
          <w:sz w:val="20"/>
          <w:szCs w:val="20"/>
        </w:rPr>
        <w:t xml:space="preserve">1.3	</w:t>
      </w:r>
      <w:r>
        <w:rPr>
          <w:rFonts w:ascii="Georgia" w:cs="Georgia" w:eastAsia="Georgia" w:hAnsi="Georgia"/>
          <w:color w:val="232B31"/>
          <w:sz w:val="21"/>
          <w:szCs w:val="21"/>
        </w:rPr>
        <w:t xml:space="preserve">“Personal Data” has the meaning given in the Nigeria Data Protection Act 2023.</w:t>
      </w:r>
    </w:p>
    <w:p>
      <w:pPr>
        <w:spacing w:after="160" w:before="380"/>
      </w:pPr>
      <w:r>
        <w:rPr>
          <w:rFonts w:ascii="Arial" w:cs="Arial" w:eastAsia="Arial" w:hAnsi="Arial"/>
          <w:b/>
          <w:bCs/>
          <w:color w:val="1C9E63"/>
          <w:sz w:val="22"/>
          <w:szCs w:val="22"/>
        </w:rPr>
        <w:t xml:space="preserve">2.  </w:t>
      </w:r>
      <w:r>
        <w:rPr>
          <w:rFonts w:ascii="Arial" w:cs="Arial" w:eastAsia="Arial" w:hAnsi="Arial"/>
          <w:b/>
          <w:bCs/>
          <w:color w:val="263E4F"/>
          <w:sz w:val="22"/>
          <w:szCs w:val="22"/>
        </w:rPr>
        <w:t xml:space="preserve">Confidentiality obligations</w:t>
      </w:r>
    </w:p>
    <w:p>
      <w:pPr>
        <w:spacing w:after="150" w:line="276"/>
        <w:ind w:left="567" w:hanging="567"/>
        <w:jc w:val="both"/>
      </w:pPr>
      <w:r>
        <w:rPr>
          <w:rFonts w:ascii="Arial" w:cs="Arial" w:eastAsia="Arial" w:hAnsi="Arial"/>
          <w:b/>
          <w:bCs/>
          <w:color w:val="263E4F"/>
          <w:sz w:val="20"/>
          <w:szCs w:val="20"/>
        </w:rPr>
        <w:t xml:space="preserve">2.1	</w:t>
      </w:r>
      <w:r>
        <w:rPr>
          <w:rFonts w:ascii="Georgia" w:cs="Georgia" w:eastAsia="Georgia" w:hAnsi="Georgia"/>
          <w:color w:val="232B31"/>
          <w:sz w:val="21"/>
          <w:szCs w:val="21"/>
        </w:rPr>
        <w:t xml:space="preserve">The Recipient shall keep the Discloser’s Confidential Information strictly confidential and shall not disclose it to any person except as permitted by this Agreement.</w:t>
      </w:r>
    </w:p>
    <w:p>
      <w:pPr>
        <w:spacing w:after="150" w:line="276"/>
        <w:ind w:left="567" w:hanging="567"/>
        <w:jc w:val="both"/>
      </w:pPr>
      <w:r>
        <w:rPr>
          <w:rFonts w:ascii="Arial" w:cs="Arial" w:eastAsia="Arial" w:hAnsi="Arial"/>
          <w:b/>
          <w:bCs/>
          <w:color w:val="263E4F"/>
          <w:sz w:val="20"/>
          <w:szCs w:val="20"/>
        </w:rPr>
        <w:t xml:space="preserve">2.2	</w:t>
      </w:r>
      <w:r>
        <w:rPr>
          <w:rFonts w:ascii="Georgia" w:cs="Georgia" w:eastAsia="Georgia" w:hAnsi="Georgia"/>
          <w:color w:val="232B31"/>
          <w:sz w:val="21"/>
          <w:szCs w:val="21"/>
        </w:rPr>
        <w:t xml:space="preserve">The Recipient shall use the Confidential Information solely for the Purpose and for no other purpose, and in particular shall not use it to compete with the Discloser, to solicit the Discloser’s customers, merchants, agents or employees, or to develop any product or service that would not have been developed without it.</w:t>
      </w:r>
    </w:p>
    <w:p>
      <w:pPr>
        <w:spacing w:after="150" w:line="276"/>
        <w:ind w:left="567" w:hanging="567"/>
        <w:jc w:val="both"/>
      </w:pPr>
      <w:r>
        <w:rPr>
          <w:rFonts w:ascii="Arial" w:cs="Arial" w:eastAsia="Arial" w:hAnsi="Arial"/>
          <w:b/>
          <w:bCs/>
          <w:color w:val="263E4F"/>
          <w:sz w:val="20"/>
          <w:szCs w:val="20"/>
        </w:rPr>
        <w:t xml:space="preserve">2.3	</w:t>
      </w:r>
      <w:r>
        <w:rPr>
          <w:rFonts w:ascii="Georgia" w:cs="Georgia" w:eastAsia="Georgia" w:hAnsi="Georgia"/>
          <w:color w:val="232B31"/>
          <w:sz w:val="21"/>
          <w:szCs w:val="21"/>
        </w:rPr>
        <w:t xml:space="preserve">The Recipient shall protect the Confidential Information using at least the degree of care it applies to its own confidential information of similar importance, and in no event less than a reasonable degree of care.</w:t>
      </w:r>
    </w:p>
    <w:p>
      <w:pPr>
        <w:spacing w:after="150" w:line="276"/>
        <w:ind w:left="567" w:hanging="567"/>
        <w:jc w:val="both"/>
      </w:pPr>
      <w:r>
        <w:rPr>
          <w:rFonts w:ascii="Arial" w:cs="Arial" w:eastAsia="Arial" w:hAnsi="Arial"/>
          <w:b/>
          <w:bCs/>
          <w:color w:val="263E4F"/>
          <w:sz w:val="20"/>
          <w:szCs w:val="20"/>
        </w:rPr>
        <w:t xml:space="preserve">2.4	</w:t>
      </w:r>
      <w:r>
        <w:rPr>
          <w:rFonts w:ascii="Georgia" w:cs="Georgia" w:eastAsia="Georgia" w:hAnsi="Georgia"/>
          <w:color w:val="232B31"/>
          <w:sz w:val="21"/>
          <w:szCs w:val="21"/>
        </w:rPr>
        <w:t xml:space="preserve">The Recipient may disclose the Confidential Information to those of its directors, officers, employees, professional advisers and, with the Discloser’s prior written consent, its affiliates and subcontractors, who need to know it for the Purpose (each a “Representative”), provided that the Recipient first informs each Representative of the confidential nature of the information and procures that they are bound by obligations of confidentiality no less protective than those in this Agreement. The Recipient remains liable for any act or omission of its Representatives that would breach this Agreement if done by the Recipient.</w:t>
      </w:r>
    </w:p>
    <w:p>
      <w:pPr>
        <w:spacing w:after="150" w:line="276"/>
        <w:ind w:left="567" w:hanging="567"/>
        <w:jc w:val="both"/>
      </w:pPr>
      <w:r>
        <w:rPr>
          <w:rFonts w:ascii="Arial" w:cs="Arial" w:eastAsia="Arial" w:hAnsi="Arial"/>
          <w:b/>
          <w:bCs/>
          <w:color w:val="263E4F"/>
          <w:sz w:val="20"/>
          <w:szCs w:val="20"/>
        </w:rPr>
        <w:t xml:space="preserve">2.5	</w:t>
      </w:r>
      <w:r>
        <w:rPr>
          <w:rFonts w:ascii="Georgia" w:cs="Georgia" w:eastAsia="Georgia" w:hAnsi="Georgia"/>
          <w:color w:val="232B31"/>
          <w:sz w:val="21"/>
          <w:szCs w:val="21"/>
        </w:rPr>
        <w:t xml:space="preserve">The Recipient shall notify the Discloser promptly in writing on becoming aware of any unauthorised use, disclosure, loss or access, and shall cooperate with the Discloser in limiting the effect.</w:t>
      </w:r>
    </w:p>
    <w:p>
      <w:pPr>
        <w:spacing w:after="160" w:before="380"/>
      </w:pPr>
      <w:r>
        <w:rPr>
          <w:rFonts w:ascii="Arial" w:cs="Arial" w:eastAsia="Arial" w:hAnsi="Arial"/>
          <w:b/>
          <w:bCs/>
          <w:color w:val="1C9E63"/>
          <w:sz w:val="22"/>
          <w:szCs w:val="22"/>
        </w:rPr>
        <w:t xml:space="preserve">3.  </w:t>
      </w:r>
      <w:r>
        <w:rPr>
          <w:rFonts w:ascii="Arial" w:cs="Arial" w:eastAsia="Arial" w:hAnsi="Arial"/>
          <w:b/>
          <w:bCs/>
          <w:color w:val="263E4F"/>
          <w:sz w:val="22"/>
          <w:szCs w:val="22"/>
        </w:rPr>
        <w:t xml:space="preserve">Compelled disclosure</w:t>
      </w:r>
    </w:p>
    <w:p>
      <w:pPr>
        <w:spacing w:after="150" w:line="276"/>
        <w:ind w:left="567" w:hanging="567"/>
        <w:jc w:val="both"/>
      </w:pPr>
      <w:r>
        <w:rPr>
          <w:rFonts w:ascii="Arial" w:cs="Arial" w:eastAsia="Arial" w:hAnsi="Arial"/>
          <w:b/>
          <w:bCs/>
          <w:color w:val="263E4F"/>
          <w:sz w:val="20"/>
          <w:szCs w:val="20"/>
        </w:rPr>
        <w:t xml:space="preserve">3.1	</w:t>
      </w:r>
      <w:r>
        <w:rPr>
          <w:rFonts w:ascii="Georgia" w:cs="Georgia" w:eastAsia="Georgia" w:hAnsi="Georgia"/>
          <w:color w:val="232B31"/>
          <w:sz w:val="21"/>
          <w:szCs w:val="21"/>
        </w:rPr>
        <w:t xml:space="preserve">The Recipient may disclose Confidential Information to the extent required by law, by a court of competent jurisdiction, or by a regulatory authority with jurisdiction over it, including the Central Bank of Nigeria and the Nigeria Data Protection Commission.</w:t>
      </w:r>
    </w:p>
    <w:p>
      <w:pPr>
        <w:spacing w:after="150" w:line="276"/>
        <w:ind w:left="567" w:hanging="567"/>
        <w:jc w:val="both"/>
      </w:pPr>
      <w:r>
        <w:rPr>
          <w:rFonts w:ascii="Arial" w:cs="Arial" w:eastAsia="Arial" w:hAnsi="Arial"/>
          <w:b/>
          <w:bCs/>
          <w:color w:val="263E4F"/>
          <w:sz w:val="20"/>
          <w:szCs w:val="20"/>
        </w:rPr>
        <w:t xml:space="preserve">3.2	</w:t>
      </w:r>
      <w:r>
        <w:rPr>
          <w:rFonts w:ascii="Georgia" w:cs="Georgia" w:eastAsia="Georgia" w:hAnsi="Georgia"/>
          <w:color w:val="232B31"/>
          <w:sz w:val="21"/>
          <w:szCs w:val="21"/>
        </w:rPr>
        <w:t xml:space="preserve">Where legally permitted, the Recipient shall give the Discloser prompt written notice before making such disclosure so that the Discloser may seek a protective order or other relief, shall disclose only that part of the Confidential Information it is legally required to disclose, and shall use reasonable efforts to obtain confidential treatment for it.</w:t>
      </w:r>
    </w:p>
    <w:p>
      <w:pPr>
        <w:spacing w:after="160" w:before="380"/>
      </w:pPr>
      <w:r>
        <w:rPr>
          <w:rFonts w:ascii="Arial" w:cs="Arial" w:eastAsia="Arial" w:hAnsi="Arial"/>
          <w:b/>
          <w:bCs/>
          <w:color w:val="1C9E63"/>
          <w:sz w:val="22"/>
          <w:szCs w:val="22"/>
        </w:rPr>
        <w:t xml:space="preserve">4.  </w:t>
      </w:r>
      <w:r>
        <w:rPr>
          <w:rFonts w:ascii="Arial" w:cs="Arial" w:eastAsia="Arial" w:hAnsi="Arial"/>
          <w:b/>
          <w:bCs/>
          <w:color w:val="263E4F"/>
          <w:sz w:val="22"/>
          <w:szCs w:val="22"/>
        </w:rPr>
        <w:t xml:space="preserve">Biometric and personal data</w:t>
      </w:r>
    </w:p>
    <w:p>
      <w:pPr>
        <w:spacing w:after="150" w:line="276"/>
        <w:ind w:left="567" w:hanging="567"/>
        <w:jc w:val="both"/>
      </w:pPr>
      <w:r>
        <w:rPr>
          <w:rFonts w:ascii="Arial" w:cs="Arial" w:eastAsia="Arial" w:hAnsi="Arial"/>
          <w:b/>
          <w:bCs/>
          <w:color w:val="263E4F"/>
          <w:sz w:val="20"/>
          <w:szCs w:val="20"/>
        </w:rPr>
        <w:t xml:space="preserve">4.1	</w:t>
      </w:r>
      <w:r>
        <w:rPr>
          <w:rFonts w:ascii="Georgia" w:cs="Georgia" w:eastAsia="Georgia" w:hAnsi="Georgia"/>
          <w:color w:val="232B31"/>
          <w:sz w:val="21"/>
          <w:szCs w:val="21"/>
        </w:rPr>
        <w:t xml:space="preserve">The Parties acknowledge that MiliPay processes biometric data, which constitutes sensitive personal data under the Nigeria Data Protection Act 2023.</w:t>
      </w:r>
    </w:p>
    <w:p>
      <w:pPr>
        <w:spacing w:after="150" w:line="276"/>
        <w:ind w:left="567" w:hanging="567"/>
        <w:jc w:val="both"/>
      </w:pPr>
      <w:r>
        <w:rPr>
          <w:rFonts w:ascii="Arial" w:cs="Arial" w:eastAsia="Arial" w:hAnsi="Arial"/>
          <w:b/>
          <w:bCs/>
          <w:color w:val="263E4F"/>
          <w:sz w:val="20"/>
          <w:szCs w:val="20"/>
        </w:rPr>
        <w:t xml:space="preserve">4.2	</w:t>
      </w:r>
      <w:r>
        <w:rPr>
          <w:rFonts w:ascii="Georgia" w:cs="Georgia" w:eastAsia="Georgia" w:hAnsi="Georgia"/>
          <w:color w:val="232B31"/>
          <w:sz w:val="21"/>
          <w:szCs w:val="21"/>
        </w:rPr>
        <w:t xml:space="preserve">Neither Party shall disclose to the other any Personal Data relating to a data subject unless disclosure is strictly necessary for the Purpose and a lawful basis for that disclosure exists.</w:t>
      </w:r>
    </w:p>
    <w:p>
      <w:pPr>
        <w:spacing w:after="150" w:line="276"/>
        <w:ind w:left="567" w:hanging="567"/>
        <w:jc w:val="both"/>
      </w:pPr>
      <w:r>
        <w:rPr>
          <w:rFonts w:ascii="Arial" w:cs="Arial" w:eastAsia="Arial" w:hAnsi="Arial"/>
          <w:b/>
          <w:bCs/>
          <w:color w:val="263E4F"/>
          <w:sz w:val="20"/>
          <w:szCs w:val="20"/>
        </w:rPr>
        <w:t xml:space="preserve">4.3	</w:t>
      </w:r>
      <w:r>
        <w:rPr>
          <w:rFonts w:ascii="Georgia" w:cs="Georgia" w:eastAsia="Georgia" w:hAnsi="Georgia"/>
          <w:color w:val="232B31"/>
          <w:sz w:val="21"/>
          <w:szCs w:val="21"/>
        </w:rPr>
        <w:t xml:space="preserve">In particular, neither Party shall disclose to the other any biometric template, biometric sample or other biometric identifier relating to any individual. Where a technical evaluation requires biometric data, the Parties shall use synthetic or test data, or data of consenting Party personnel, and shall record that agreement in writing before any such data is exchanged.</w:t>
      </w:r>
    </w:p>
    <w:p>
      <w:pPr>
        <w:spacing w:after="150" w:line="276"/>
        <w:ind w:left="567" w:hanging="567"/>
        <w:jc w:val="both"/>
      </w:pPr>
      <w:r>
        <w:rPr>
          <w:rFonts w:ascii="Arial" w:cs="Arial" w:eastAsia="Arial" w:hAnsi="Arial"/>
          <w:b/>
          <w:bCs/>
          <w:color w:val="263E4F"/>
          <w:sz w:val="20"/>
          <w:szCs w:val="20"/>
        </w:rPr>
        <w:t xml:space="preserve">4.4	</w:t>
      </w:r>
      <w:r>
        <w:rPr>
          <w:rFonts w:ascii="Georgia" w:cs="Georgia" w:eastAsia="Georgia" w:hAnsi="Georgia"/>
          <w:color w:val="232B31"/>
          <w:sz w:val="21"/>
          <w:szCs w:val="21"/>
        </w:rPr>
        <w:t xml:space="preserve">Where the Purpose develops into an arrangement under which one Party will process Personal Data on behalf of the other, the Parties shall enter into a separate written data processing agreement complying with the Nigeria Data Protection Act 2023 before any such processing begins. This Agreement does not authorise it.</w:t>
      </w:r>
    </w:p>
    <w:p>
      <w:pPr>
        <w:spacing w:after="160" w:before="380"/>
      </w:pPr>
      <w:r>
        <w:rPr>
          <w:rFonts w:ascii="Arial" w:cs="Arial" w:eastAsia="Arial" w:hAnsi="Arial"/>
          <w:b/>
          <w:bCs/>
          <w:color w:val="1C9E63"/>
          <w:sz w:val="22"/>
          <w:szCs w:val="22"/>
        </w:rPr>
        <w:t xml:space="preserve">5.  </w:t>
      </w:r>
      <w:r>
        <w:rPr>
          <w:rFonts w:ascii="Arial" w:cs="Arial" w:eastAsia="Arial" w:hAnsi="Arial"/>
          <w:b/>
          <w:bCs/>
          <w:color w:val="263E4F"/>
          <w:sz w:val="22"/>
          <w:szCs w:val="22"/>
        </w:rPr>
        <w:t xml:space="preserve">No licence, no representation, no obligation</w:t>
      </w:r>
    </w:p>
    <w:p>
      <w:pPr>
        <w:spacing w:after="150" w:line="276"/>
        <w:ind w:left="567" w:hanging="567"/>
        <w:jc w:val="both"/>
      </w:pPr>
      <w:r>
        <w:rPr>
          <w:rFonts w:ascii="Arial" w:cs="Arial" w:eastAsia="Arial" w:hAnsi="Arial"/>
          <w:b/>
          <w:bCs/>
          <w:color w:val="263E4F"/>
          <w:sz w:val="20"/>
          <w:szCs w:val="20"/>
        </w:rPr>
        <w:t xml:space="preserve">5.1	</w:t>
      </w:r>
      <w:r>
        <w:rPr>
          <w:rFonts w:ascii="Georgia" w:cs="Georgia" w:eastAsia="Georgia" w:hAnsi="Georgia"/>
          <w:color w:val="232B31"/>
          <w:sz w:val="21"/>
          <w:szCs w:val="21"/>
        </w:rPr>
        <w:t xml:space="preserve">All Confidential Information remains the property of the Discloser. Nothing in this Agreement transfers or grants any right, title, interest or licence in or to any intellectual property, whether by implication, estoppel or otherwise.</w:t>
      </w:r>
    </w:p>
    <w:p>
      <w:pPr>
        <w:spacing w:after="150" w:line="276"/>
        <w:ind w:left="567" w:hanging="567"/>
        <w:jc w:val="both"/>
      </w:pPr>
      <w:r>
        <w:rPr>
          <w:rFonts w:ascii="Arial" w:cs="Arial" w:eastAsia="Arial" w:hAnsi="Arial"/>
          <w:b/>
          <w:bCs/>
          <w:color w:val="263E4F"/>
          <w:sz w:val="20"/>
          <w:szCs w:val="20"/>
        </w:rPr>
        <w:t xml:space="preserve">5.2	</w:t>
      </w:r>
      <w:r>
        <w:rPr>
          <w:rFonts w:ascii="Georgia" w:cs="Georgia" w:eastAsia="Georgia" w:hAnsi="Georgia"/>
          <w:color w:val="232B31"/>
          <w:sz w:val="21"/>
          <w:szCs w:val="21"/>
        </w:rPr>
        <w:t xml:space="preserve">The Confidential Information is provided as is. Neither Party makes any representation or warranty as to its accuracy or completeness, and neither shall have any liability arising from the other’s reliance on it, save in respect of fraud or fraudulent misrepresentation.</w:t>
      </w:r>
    </w:p>
    <w:p>
      <w:pPr>
        <w:spacing w:after="150" w:line="276"/>
        <w:ind w:left="567" w:hanging="567"/>
        <w:jc w:val="both"/>
      </w:pPr>
      <w:r>
        <w:rPr>
          <w:rFonts w:ascii="Arial" w:cs="Arial" w:eastAsia="Arial" w:hAnsi="Arial"/>
          <w:b/>
          <w:bCs/>
          <w:color w:val="263E4F"/>
          <w:sz w:val="20"/>
          <w:szCs w:val="20"/>
        </w:rPr>
        <w:t xml:space="preserve">5.3	</w:t>
      </w:r>
      <w:r>
        <w:rPr>
          <w:rFonts w:ascii="Georgia" w:cs="Georgia" w:eastAsia="Georgia" w:hAnsi="Georgia"/>
          <w:color w:val="232B31"/>
          <w:sz w:val="21"/>
          <w:szCs w:val="21"/>
        </w:rPr>
        <w:t xml:space="preserve">Nothing in this Agreement obliges either Party to disclose any information, to proceed with the Purpose, or to enter into any further agreement, and neither Party shall have any claim arising from a decision not to proceed.</w:t>
      </w:r>
    </w:p>
    <w:p>
      <w:pPr>
        <w:spacing w:after="150" w:line="276"/>
        <w:ind w:left="567" w:hanging="567"/>
        <w:jc w:val="both"/>
      </w:pPr>
      <w:r>
        <w:rPr>
          <w:rFonts w:ascii="Arial" w:cs="Arial" w:eastAsia="Arial" w:hAnsi="Arial"/>
          <w:b/>
          <w:bCs/>
          <w:color w:val="263E4F"/>
          <w:sz w:val="20"/>
          <w:szCs w:val="20"/>
        </w:rPr>
        <w:t xml:space="preserve">5.4	</w:t>
      </w:r>
      <w:r>
        <w:rPr>
          <w:rFonts w:ascii="Georgia" w:cs="Georgia" w:eastAsia="Georgia" w:hAnsi="Georgia"/>
          <w:color w:val="232B31"/>
          <w:sz w:val="21"/>
          <w:szCs w:val="21"/>
        </w:rPr>
        <w:t xml:space="preserve">Nothing in this Agreement creates a partnership, joint venture, agency or employment relationship between the Parties.</w:t>
      </w:r>
    </w:p>
    <w:p>
      <w:pPr>
        <w:spacing w:after="160" w:before="380"/>
      </w:pPr>
      <w:r>
        <w:rPr>
          <w:rFonts w:ascii="Arial" w:cs="Arial" w:eastAsia="Arial" w:hAnsi="Arial"/>
          <w:b/>
          <w:bCs/>
          <w:color w:val="1C9E63"/>
          <w:sz w:val="22"/>
          <w:szCs w:val="22"/>
        </w:rPr>
        <w:t xml:space="preserve">6.  </w:t>
      </w:r>
      <w:r>
        <w:rPr>
          <w:rFonts w:ascii="Arial" w:cs="Arial" w:eastAsia="Arial" w:hAnsi="Arial"/>
          <w:b/>
          <w:bCs/>
          <w:color w:val="263E4F"/>
          <w:sz w:val="22"/>
          <w:szCs w:val="22"/>
        </w:rPr>
        <w:t xml:space="preserve">Return and destruction</w:t>
      </w:r>
    </w:p>
    <w:p>
      <w:pPr>
        <w:spacing w:after="150" w:line="276"/>
        <w:ind w:left="567" w:hanging="567"/>
        <w:jc w:val="both"/>
      </w:pPr>
      <w:r>
        <w:rPr>
          <w:rFonts w:ascii="Arial" w:cs="Arial" w:eastAsia="Arial" w:hAnsi="Arial"/>
          <w:b/>
          <w:bCs/>
          <w:color w:val="263E4F"/>
          <w:sz w:val="20"/>
          <w:szCs w:val="20"/>
        </w:rPr>
        <w:t xml:space="preserve">6.1	</w:t>
      </w:r>
      <w:r>
        <w:rPr>
          <w:rFonts w:ascii="Georgia" w:cs="Georgia" w:eastAsia="Georgia" w:hAnsi="Georgia"/>
          <w:color w:val="232B31"/>
          <w:sz w:val="21"/>
          <w:szCs w:val="21"/>
        </w:rPr>
        <w:t xml:space="preserve">On the Discloser’s written request, or on termination of this Agreement, or when the Confidential Information is no longer required for the Purpose, the Recipient shall promptly return or destroy all Confidential Information in its possession or control, including all copies and all materials derived from it, and shall confirm in writing that it has done so.</w:t>
      </w:r>
    </w:p>
    <w:p>
      <w:pPr>
        <w:spacing w:after="150" w:line="276"/>
        <w:ind w:left="567" w:hanging="567"/>
        <w:jc w:val="both"/>
      </w:pPr>
      <w:r>
        <w:rPr>
          <w:rFonts w:ascii="Arial" w:cs="Arial" w:eastAsia="Arial" w:hAnsi="Arial"/>
          <w:b/>
          <w:bCs/>
          <w:color w:val="263E4F"/>
          <w:sz w:val="20"/>
          <w:szCs w:val="20"/>
        </w:rPr>
        <w:t xml:space="preserve">6.2	</w:t>
      </w:r>
      <w:r>
        <w:rPr>
          <w:rFonts w:ascii="Georgia" w:cs="Georgia" w:eastAsia="Georgia" w:hAnsi="Georgia"/>
          <w:color w:val="232B31"/>
          <w:sz w:val="21"/>
          <w:szCs w:val="21"/>
        </w:rPr>
        <w:t xml:space="preserve">The Recipient may retain one copy to the extent required by law, regulation or its bona fide internal document retention policy, or where held in routine automated backups that are not readily accessible. Any information so retained remains subject to this Agreement for as long as it is retained.</w:t>
      </w:r>
    </w:p>
    <w:p>
      <w:pPr>
        <w:spacing w:after="160" w:before="380"/>
      </w:pPr>
      <w:r>
        <w:rPr>
          <w:rFonts w:ascii="Arial" w:cs="Arial" w:eastAsia="Arial" w:hAnsi="Arial"/>
          <w:b/>
          <w:bCs/>
          <w:color w:val="1C9E63"/>
          <w:sz w:val="22"/>
          <w:szCs w:val="22"/>
        </w:rPr>
        <w:t xml:space="preserve">7.  </w:t>
      </w:r>
      <w:r>
        <w:rPr>
          <w:rFonts w:ascii="Arial" w:cs="Arial" w:eastAsia="Arial" w:hAnsi="Arial"/>
          <w:b/>
          <w:bCs/>
          <w:color w:val="263E4F"/>
          <w:sz w:val="22"/>
          <w:szCs w:val="22"/>
        </w:rPr>
        <w:t xml:space="preserve">Term and survival</w:t>
      </w:r>
    </w:p>
    <w:p>
      <w:pPr>
        <w:spacing w:after="150" w:line="276"/>
        <w:ind w:left="567" w:hanging="567"/>
        <w:jc w:val="both"/>
      </w:pPr>
      <w:r>
        <w:rPr>
          <w:rFonts w:ascii="Arial" w:cs="Arial" w:eastAsia="Arial" w:hAnsi="Arial"/>
          <w:b/>
          <w:bCs/>
          <w:color w:val="263E4F"/>
          <w:sz w:val="20"/>
          <w:szCs w:val="20"/>
        </w:rPr>
        <w:t xml:space="preserve">7.1	</w:t>
      </w:r>
      <w:r>
        <w:rPr>
          <w:rFonts w:ascii="Georgia" w:cs="Georgia" w:eastAsia="Georgia" w:hAnsi="Georgia"/>
          <w:color w:val="232B31"/>
          <w:sz w:val="21"/>
          <w:szCs w:val="21"/>
        </w:rPr>
        <w:t xml:space="preserve">This Agreement takes effect on the date first written above and continues for [TWO (2)] years, unless terminated earlier by either Party on [THIRTY (30)] days’ written notice.</w:t>
      </w:r>
    </w:p>
    <w:p>
      <w:pPr>
        <w:spacing w:after="150" w:line="276"/>
        <w:ind w:left="567" w:hanging="567"/>
        <w:jc w:val="both"/>
      </w:pPr>
      <w:r>
        <w:rPr>
          <w:rFonts w:ascii="Arial" w:cs="Arial" w:eastAsia="Arial" w:hAnsi="Arial"/>
          <w:b/>
          <w:bCs/>
          <w:color w:val="263E4F"/>
          <w:sz w:val="20"/>
          <w:szCs w:val="20"/>
        </w:rPr>
        <w:t xml:space="preserve">7.2	</w:t>
      </w:r>
      <w:r>
        <w:rPr>
          <w:rFonts w:ascii="Georgia" w:cs="Georgia" w:eastAsia="Georgia" w:hAnsi="Georgia"/>
          <w:color w:val="232B31"/>
          <w:sz w:val="21"/>
          <w:szCs w:val="21"/>
        </w:rPr>
        <w:t xml:space="preserve">The Recipient’s obligations in respect of Confidential Information disclosed before termination continue for [FIVE (5)] years from the date of disclosure.</w:t>
      </w:r>
    </w:p>
    <w:p>
      <w:pPr>
        <w:spacing w:after="150" w:line="276"/>
        <w:ind w:left="567" w:hanging="567"/>
        <w:jc w:val="both"/>
      </w:pPr>
      <w:r>
        <w:rPr>
          <w:rFonts w:ascii="Arial" w:cs="Arial" w:eastAsia="Arial" w:hAnsi="Arial"/>
          <w:b/>
          <w:bCs/>
          <w:color w:val="263E4F"/>
          <w:sz w:val="20"/>
          <w:szCs w:val="20"/>
        </w:rPr>
        <w:t xml:space="preserve">7.3	</w:t>
      </w:r>
      <w:r>
        <w:rPr>
          <w:rFonts w:ascii="Georgia" w:cs="Georgia" w:eastAsia="Georgia" w:hAnsi="Georgia"/>
          <w:color w:val="232B31"/>
          <w:sz w:val="21"/>
          <w:szCs w:val="21"/>
        </w:rPr>
        <w:t xml:space="preserve">Notwithstanding clause 7.2, obligations in respect of any Confidential Information that constitutes a trade secret under Nigerian law, and obligations under clause 4, continue for as long as that information remains a trade secret or, in the case of clause 4, indefinitely.</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On term.  </w:t>
      </w:r>
      <w:r>
        <w:rPr>
          <w:rFonts w:ascii="Georgia" w:cs="Georgia" w:eastAsia="Georgia" w:hAnsi="Georgia"/>
          <w:i/>
          <w:iCs/>
          <w:color w:val="46525A"/>
          <w:sz w:val="19"/>
          <w:szCs w:val="19"/>
        </w:rPr>
        <w:t xml:space="preserve">Two years of disclosure with a five-year tail is a reasonable default. A hardware vendor may push for shorter; an investor will usually accept it. For a bank or switch partnership, expect their own paper and expect it to be longer and one-sided in their favour — that is normal, and the clauses to fight for are 4.3, 5.1 and 8.2.</w:t>
      </w:r>
    </w:p>
    <w:p>
      <w:pPr>
        <w:spacing w:after="160" w:before="380"/>
      </w:pPr>
      <w:r>
        <w:rPr>
          <w:rFonts w:ascii="Arial" w:cs="Arial" w:eastAsia="Arial" w:hAnsi="Arial"/>
          <w:b/>
          <w:bCs/>
          <w:color w:val="1C9E63"/>
          <w:sz w:val="22"/>
          <w:szCs w:val="22"/>
        </w:rPr>
        <w:t xml:space="preserve">8.  </w:t>
      </w:r>
      <w:r>
        <w:rPr>
          <w:rFonts w:ascii="Arial" w:cs="Arial" w:eastAsia="Arial" w:hAnsi="Arial"/>
          <w:b/>
          <w:bCs/>
          <w:color w:val="263E4F"/>
          <w:sz w:val="22"/>
          <w:szCs w:val="22"/>
        </w:rPr>
        <w:t xml:space="preserve">Remedies</w:t>
      </w:r>
    </w:p>
    <w:p>
      <w:pPr>
        <w:spacing w:after="150" w:line="276"/>
        <w:ind w:left="567" w:hanging="567"/>
        <w:jc w:val="both"/>
      </w:pPr>
      <w:r>
        <w:rPr>
          <w:rFonts w:ascii="Arial" w:cs="Arial" w:eastAsia="Arial" w:hAnsi="Arial"/>
          <w:b/>
          <w:bCs/>
          <w:color w:val="263E4F"/>
          <w:sz w:val="20"/>
          <w:szCs w:val="20"/>
        </w:rPr>
        <w:t xml:space="preserve">8.1	</w:t>
      </w:r>
      <w:r>
        <w:rPr>
          <w:rFonts w:ascii="Georgia" w:cs="Georgia" w:eastAsia="Georgia" w:hAnsi="Georgia"/>
          <w:color w:val="232B31"/>
          <w:sz w:val="21"/>
          <w:szCs w:val="21"/>
        </w:rPr>
        <w:t xml:space="preserve">The Parties acknowledge that damages alone may be an inadequate remedy for breach of this Agreement and that the Discloser shall be entitled to seek injunctive relief, specific performance and other equitable remedies without the need to prove special damage or provide security.</w:t>
      </w:r>
    </w:p>
    <w:p>
      <w:pPr>
        <w:spacing w:after="150" w:line="276"/>
        <w:ind w:left="567" w:hanging="567"/>
        <w:jc w:val="both"/>
      </w:pPr>
      <w:r>
        <w:rPr>
          <w:rFonts w:ascii="Arial" w:cs="Arial" w:eastAsia="Arial" w:hAnsi="Arial"/>
          <w:b/>
          <w:bCs/>
          <w:color w:val="263E4F"/>
          <w:sz w:val="20"/>
          <w:szCs w:val="20"/>
        </w:rPr>
        <w:t xml:space="preserve">8.2	</w:t>
      </w:r>
      <w:r>
        <w:rPr>
          <w:rFonts w:ascii="Georgia" w:cs="Georgia" w:eastAsia="Georgia" w:hAnsi="Georgia"/>
          <w:color w:val="232B31"/>
          <w:sz w:val="21"/>
          <w:szCs w:val="21"/>
        </w:rPr>
        <w:t xml:space="preserve">Nothing in this Agreement excludes or limits either Party’s liability for fraud, fraudulent misrepresentation, death or personal injury caused by negligence, or any other liability that cannot lawfully be excluded.</w:t>
      </w:r>
    </w:p>
    <w:p>
      <w:pPr>
        <w:spacing w:after="160" w:before="380"/>
      </w:pPr>
      <w:r>
        <w:rPr>
          <w:rFonts w:ascii="Arial" w:cs="Arial" w:eastAsia="Arial" w:hAnsi="Arial"/>
          <w:b/>
          <w:bCs/>
          <w:color w:val="1C9E63"/>
          <w:sz w:val="22"/>
          <w:szCs w:val="22"/>
        </w:rPr>
        <w:t xml:space="preserve">9.  </w:t>
      </w:r>
      <w:r>
        <w:rPr>
          <w:rFonts w:ascii="Arial" w:cs="Arial" w:eastAsia="Arial" w:hAnsi="Arial"/>
          <w:b/>
          <w:bCs/>
          <w:color w:val="263E4F"/>
          <w:sz w:val="22"/>
          <w:szCs w:val="22"/>
        </w:rPr>
        <w:t xml:space="preserve">General</w:t>
      </w:r>
    </w:p>
    <w:p>
      <w:pPr>
        <w:spacing w:after="150" w:line="276"/>
        <w:ind w:left="567" w:hanging="567"/>
        <w:jc w:val="both"/>
      </w:pPr>
      <w:r>
        <w:rPr>
          <w:rFonts w:ascii="Arial" w:cs="Arial" w:eastAsia="Arial" w:hAnsi="Arial"/>
          <w:b/>
          <w:bCs/>
          <w:color w:val="263E4F"/>
          <w:sz w:val="20"/>
          <w:szCs w:val="20"/>
        </w:rPr>
        <w:t xml:space="preserve">9.1	</w:t>
      </w:r>
      <w:r>
        <w:rPr>
          <w:rFonts w:ascii="Georgia" w:cs="Georgia" w:eastAsia="Georgia" w:hAnsi="Georgia"/>
          <w:color w:val="232B31"/>
          <w:sz w:val="21"/>
          <w:szCs w:val="21"/>
        </w:rPr>
        <w:t xml:space="preserve">Entire agreement. This Agreement is the entire agreement between the Parties in relation to its subject matter and supersedes all prior discussions and understandings relating to confidentiality.</w:t>
      </w:r>
    </w:p>
    <w:p>
      <w:pPr>
        <w:spacing w:after="150" w:line="276"/>
        <w:ind w:left="567" w:hanging="567"/>
        <w:jc w:val="both"/>
      </w:pPr>
      <w:r>
        <w:rPr>
          <w:rFonts w:ascii="Arial" w:cs="Arial" w:eastAsia="Arial" w:hAnsi="Arial"/>
          <w:b/>
          <w:bCs/>
          <w:color w:val="263E4F"/>
          <w:sz w:val="20"/>
          <w:szCs w:val="20"/>
        </w:rPr>
        <w:t xml:space="preserve">9.2	</w:t>
      </w:r>
      <w:r>
        <w:rPr>
          <w:rFonts w:ascii="Georgia" w:cs="Georgia" w:eastAsia="Georgia" w:hAnsi="Georgia"/>
          <w:color w:val="232B31"/>
          <w:sz w:val="21"/>
          <w:szCs w:val="21"/>
        </w:rPr>
        <w:t xml:space="preserve">Variation. No variation is effective unless in writing and signed by both Parties.</w:t>
      </w:r>
    </w:p>
    <w:p>
      <w:pPr>
        <w:spacing w:after="150" w:line="276"/>
        <w:ind w:left="567" w:hanging="567"/>
        <w:jc w:val="both"/>
      </w:pPr>
      <w:r>
        <w:rPr>
          <w:rFonts w:ascii="Arial" w:cs="Arial" w:eastAsia="Arial" w:hAnsi="Arial"/>
          <w:b/>
          <w:bCs/>
          <w:color w:val="263E4F"/>
          <w:sz w:val="20"/>
          <w:szCs w:val="20"/>
        </w:rPr>
        <w:t xml:space="preserve">9.3	</w:t>
      </w:r>
      <w:r>
        <w:rPr>
          <w:rFonts w:ascii="Georgia" w:cs="Georgia" w:eastAsia="Georgia" w:hAnsi="Georgia"/>
          <w:color w:val="232B31"/>
          <w:sz w:val="21"/>
          <w:szCs w:val="21"/>
        </w:rPr>
        <w:t xml:space="preserve">Assignment. Neither Party may assign or transfer this Agreement without the other’s prior written consent, save that MiliPay may assign it to a successor in connection with a reorganisation, merger, or sale of all or substantially all of its business or assets.</w:t>
      </w:r>
    </w:p>
    <w:p>
      <w:pPr>
        <w:spacing w:after="150" w:line="276"/>
        <w:ind w:left="567" w:hanging="567"/>
        <w:jc w:val="both"/>
      </w:pPr>
      <w:r>
        <w:rPr>
          <w:rFonts w:ascii="Arial" w:cs="Arial" w:eastAsia="Arial" w:hAnsi="Arial"/>
          <w:b/>
          <w:bCs/>
          <w:color w:val="263E4F"/>
          <w:sz w:val="20"/>
          <w:szCs w:val="20"/>
        </w:rPr>
        <w:t xml:space="preserve">9.4	</w:t>
      </w:r>
      <w:r>
        <w:rPr>
          <w:rFonts w:ascii="Georgia" w:cs="Georgia" w:eastAsia="Georgia" w:hAnsi="Georgia"/>
          <w:color w:val="232B31"/>
          <w:sz w:val="21"/>
          <w:szCs w:val="21"/>
        </w:rPr>
        <w:t xml:space="preserve">Waiver. No failure or delay in exercising a right is a waiver of it.</w:t>
      </w:r>
    </w:p>
    <w:p>
      <w:pPr>
        <w:spacing w:after="150" w:line="276"/>
        <w:ind w:left="567" w:hanging="567"/>
        <w:jc w:val="both"/>
      </w:pPr>
      <w:r>
        <w:rPr>
          <w:rFonts w:ascii="Arial" w:cs="Arial" w:eastAsia="Arial" w:hAnsi="Arial"/>
          <w:b/>
          <w:bCs/>
          <w:color w:val="263E4F"/>
          <w:sz w:val="20"/>
          <w:szCs w:val="20"/>
        </w:rPr>
        <w:t xml:space="preserve">9.5	</w:t>
      </w:r>
      <w:r>
        <w:rPr>
          <w:rFonts w:ascii="Georgia" w:cs="Georgia" w:eastAsia="Georgia" w:hAnsi="Georgia"/>
          <w:color w:val="232B31"/>
          <w:sz w:val="21"/>
          <w:szCs w:val="21"/>
        </w:rPr>
        <w:t xml:space="preserve">Severance. If any provision is held invalid or unenforceable, it shall be modified to the minimum extent necessary to make it enforceable, or if that is not possible, severed. The remaining provisions continue in force.</w:t>
      </w:r>
    </w:p>
    <w:p>
      <w:pPr>
        <w:spacing w:after="150" w:line="276"/>
        <w:ind w:left="567" w:hanging="567"/>
        <w:jc w:val="both"/>
      </w:pPr>
      <w:r>
        <w:rPr>
          <w:rFonts w:ascii="Arial" w:cs="Arial" w:eastAsia="Arial" w:hAnsi="Arial"/>
          <w:b/>
          <w:bCs/>
          <w:color w:val="263E4F"/>
          <w:sz w:val="20"/>
          <w:szCs w:val="20"/>
        </w:rPr>
        <w:t xml:space="preserve">9.6	</w:t>
      </w:r>
      <w:r>
        <w:rPr>
          <w:rFonts w:ascii="Georgia" w:cs="Georgia" w:eastAsia="Georgia" w:hAnsi="Georgia"/>
          <w:color w:val="232B31"/>
          <w:sz w:val="21"/>
          <w:szCs w:val="21"/>
        </w:rPr>
        <w:t xml:space="preserve">Notices. Notices shall be in writing and delivered by hand, by courier, or by email to the addresses below, and are deemed received on delivery or, for email, at the time of transmission provided no failure notice is received.</w:t>
      </w:r>
    </w:p>
    <w:p>
      <w:pPr>
        <w:spacing w:after="110" w:line="272"/>
        <w:ind w:left="1020" w:hanging="400"/>
        <w:jc w:val="both"/>
      </w:pPr>
      <w:r>
        <w:rPr>
          <w:rFonts w:ascii="Georgia" w:cs="Georgia" w:eastAsia="Georgia" w:hAnsi="Georgia"/>
          <w:color w:val="232B31"/>
          <w:sz w:val="21"/>
          <w:szCs w:val="21"/>
        </w:rPr>
        <w:t xml:space="preserve">For MiliPay: [NAME, TITLE, ADDRESS, EMAIL]</w:t>
      </w:r>
    </w:p>
    <w:p>
      <w:pPr>
        <w:spacing w:after="110" w:line="272"/>
        <w:ind w:left="1020" w:hanging="400"/>
        <w:jc w:val="both"/>
      </w:pPr>
      <w:r>
        <w:rPr>
          <w:rFonts w:ascii="Georgia" w:cs="Georgia" w:eastAsia="Georgia" w:hAnsi="Georgia"/>
          <w:color w:val="232B31"/>
          <w:sz w:val="21"/>
          <w:szCs w:val="21"/>
        </w:rPr>
        <w:t xml:space="preserve">For the Counterparty: [NAME, TITLE, ADDRESS, EMAIL]</w:t>
      </w:r>
    </w:p>
    <w:p>
      <w:pPr>
        <w:spacing w:after="150" w:line="276"/>
        <w:ind w:left="567" w:hanging="567"/>
        <w:jc w:val="both"/>
      </w:pPr>
      <w:r>
        <w:rPr>
          <w:rFonts w:ascii="Arial" w:cs="Arial" w:eastAsia="Arial" w:hAnsi="Arial"/>
          <w:b/>
          <w:bCs/>
          <w:color w:val="263E4F"/>
          <w:sz w:val="20"/>
          <w:szCs w:val="20"/>
        </w:rPr>
        <w:t xml:space="preserve">9.7	</w:t>
      </w:r>
      <w:r>
        <w:rPr>
          <w:rFonts w:ascii="Georgia" w:cs="Georgia" w:eastAsia="Georgia" w:hAnsi="Georgia"/>
          <w:color w:val="232B31"/>
          <w:sz w:val="21"/>
          <w:szCs w:val="21"/>
        </w:rPr>
        <w:t xml:space="preserve">Counterparts. This Agreement may be executed in counterparts, including by electronic signature, each of which is an original and all of which together constitute one agreement.</w:t>
      </w:r>
    </w:p>
    <w:p>
      <w:pPr>
        <w:spacing w:after="150" w:line="276"/>
        <w:ind w:left="567" w:hanging="567"/>
        <w:jc w:val="both"/>
      </w:pPr>
      <w:r>
        <w:rPr>
          <w:rFonts w:ascii="Arial" w:cs="Arial" w:eastAsia="Arial" w:hAnsi="Arial"/>
          <w:b/>
          <w:bCs/>
          <w:color w:val="263E4F"/>
          <w:sz w:val="20"/>
          <w:szCs w:val="20"/>
        </w:rPr>
        <w:t xml:space="preserve">9.8	</w:t>
      </w:r>
      <w:r>
        <w:rPr>
          <w:rFonts w:ascii="Georgia" w:cs="Georgia" w:eastAsia="Georgia" w:hAnsi="Georgia"/>
          <w:color w:val="232B31"/>
          <w:sz w:val="21"/>
          <w:szCs w:val="21"/>
        </w:rPr>
        <w:t xml:space="preserve">Governing law. This Agreement and any dispute arising out of or in connection with it, whether contractual or non-contractual, is governed by the laws of the Federal Republic of Nigeria.</w:t>
      </w:r>
    </w:p>
    <w:p>
      <w:pPr>
        <w:spacing w:after="150" w:line="276"/>
        <w:ind w:left="567" w:hanging="567"/>
        <w:jc w:val="both"/>
      </w:pPr>
      <w:r>
        <w:rPr>
          <w:rFonts w:ascii="Arial" w:cs="Arial" w:eastAsia="Arial" w:hAnsi="Arial"/>
          <w:b/>
          <w:bCs/>
          <w:color w:val="263E4F"/>
          <w:sz w:val="20"/>
          <w:szCs w:val="20"/>
        </w:rPr>
        <w:t xml:space="preserve">9.9	</w:t>
      </w:r>
      <w:r>
        <w:rPr>
          <w:rFonts w:ascii="Georgia" w:cs="Georgia" w:eastAsia="Georgia" w:hAnsi="Georgia"/>
          <w:color w:val="232B31"/>
          <w:sz w:val="21"/>
          <w:szCs w:val="21"/>
        </w:rPr>
        <w:t xml:space="preserve">Dispute resolution. The Parties shall first attempt in good faith to resolve any dispute by negotiation between senior representatives within [THIRTY (30)] days of written notice of the dispute. Any dispute not so resolved shall be [referred to and finally resolved by arbitration in Lagos, Nigeria, by a sole arbitrator appointed under the Arbitration and Mediation Act 2023, in the English language / subject to the exclusive jurisdiction of the courts of Lagos State].</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Choose one option in 9.9 and delete the other.  </w:t>
      </w:r>
      <w:r>
        <w:rPr>
          <w:rFonts w:ascii="Georgia" w:cs="Georgia" w:eastAsia="Georgia" w:hAnsi="Georgia"/>
          <w:i/>
          <w:iCs/>
          <w:color w:val="46525A"/>
          <w:sz w:val="19"/>
          <w:szCs w:val="19"/>
        </w:rPr>
        <w:t xml:space="preserve">Arbitration is private and generally faster, which suits a company whose disputes would involve confidential technical detail; it is also more expensive up front. For a small vendor NDA, the courts option is usually proportionate. Take your lawyer’s view.</w:t>
      </w:r>
    </w:p>
    <w:p>
      <w:pPr>
        <w:pBdr>
          <w:bottom w:val="single" w:color="1C9E63" w:sz="6" w:space="6"/>
        </w:pBdr>
        <w:spacing w:after="200" w:before="420"/>
      </w:pPr>
      <w:r>
        <w:rPr>
          <w:rFonts w:ascii="Arial" w:cs="Arial" w:eastAsia="Arial" w:hAnsi="Arial"/>
          <w:b/>
          <w:bCs/>
          <w:color w:val="263E4F"/>
          <w:sz w:val="26"/>
          <w:szCs w:val="26"/>
        </w:rPr>
        <w:t xml:space="preserve">Execution</w:t>
      </w:r>
    </w:p>
    <w:p>
      <w:pPr>
        <w:spacing w:after="40" w:before="340"/>
      </w:pPr>
      <w:r>
        <w:rPr>
          <w:rFonts w:ascii="Arial" w:cs="Arial" w:eastAsia="Arial" w:hAnsi="Arial"/>
          <w:b/>
          <w:bCs/>
          <w:color w:val="263E4F"/>
          <w:sz w:val="20"/>
          <w:szCs w:val="20"/>
        </w:rPr>
        <w:t xml:space="preserve">For and on behalf of [MILIPAY LEGAL ENTITY NAME]</w:t>
      </w:r>
    </w:p>
    <w:p>
      <w:pPr>
        <w:spacing w:after="60"/>
      </w:pPr>
      <w:r>
        <w:rPr>
          <w:rFonts w:ascii="Georgia" w:cs="Georgia" w:eastAsia="Georgia" w:hAnsi="Georgia"/>
          <w:color w:val="46525A"/>
          <w:sz w:val="20"/>
          <w:szCs w:val="20"/>
        </w:rPr>
        <w:t xml:space="preserve">Signature  ..................................................        Date  ..........................</w:t>
      </w:r>
    </w:p>
    <w:p>
      <w:pPr>
        <w:spacing w:after="60"/>
      </w:pPr>
      <w:r>
        <w:rPr>
          <w:rFonts w:ascii="Georgia" w:cs="Georgia" w:eastAsia="Georgia" w:hAnsi="Georgia"/>
          <w:color w:val="6B7780"/>
          <w:sz w:val="18"/>
          <w:szCs w:val="18"/>
        </w:rPr>
        <w:t xml:space="preserve">Witness  ..............................      Signature  ..............................      Date  ....................</w:t>
      </w:r>
    </w:p>
    <w:p>
      <w:pPr>
        <w:spacing w:after="60"/>
      </w:pPr>
      <w:r>
        <w:rPr>
          <w:rFonts w:ascii="Georgia" w:cs="Georgia" w:eastAsia="Georgia" w:hAnsi="Georgia"/>
          <w:color w:val="46525A"/>
          <w:sz w:val="20"/>
          <w:szCs w:val="20"/>
        </w:rPr>
        <w:t xml:space="preserve">Name  ....................................................        Title  ....................................................</w:t>
      </w:r>
    </w:p>
    <w:p>
      <w:pPr>
        <w:spacing w:after="40" w:before="340"/>
      </w:pPr>
      <w:r>
        <w:rPr>
          <w:rFonts w:ascii="Arial" w:cs="Arial" w:eastAsia="Arial" w:hAnsi="Arial"/>
          <w:b/>
          <w:bCs/>
          <w:color w:val="263E4F"/>
          <w:sz w:val="20"/>
          <w:szCs w:val="20"/>
        </w:rPr>
        <w:t xml:space="preserve">For and on behalf of [COUNTERPARTY LEGAL NAME]</w:t>
      </w:r>
    </w:p>
    <w:p>
      <w:pPr>
        <w:spacing w:after="60"/>
      </w:pPr>
      <w:r>
        <w:rPr>
          <w:rFonts w:ascii="Georgia" w:cs="Georgia" w:eastAsia="Georgia" w:hAnsi="Georgia"/>
          <w:color w:val="46525A"/>
          <w:sz w:val="20"/>
          <w:szCs w:val="20"/>
        </w:rPr>
        <w:t xml:space="preserve">Signature  ..................................................        Date  ..........................</w:t>
      </w:r>
    </w:p>
    <w:p>
      <w:pPr>
        <w:spacing w:after="60"/>
      </w:pPr>
      <w:r>
        <w:rPr>
          <w:rFonts w:ascii="Georgia" w:cs="Georgia" w:eastAsia="Georgia" w:hAnsi="Georgia"/>
          <w:color w:val="6B7780"/>
          <w:sz w:val="18"/>
          <w:szCs w:val="18"/>
        </w:rPr>
        <w:t xml:space="preserve">Witness  ..............................      Signature  ..............................      Date  ....................</w:t>
      </w:r>
    </w:p>
    <w:p>
      <w:pPr>
        <w:spacing w:after="60"/>
      </w:pPr>
      <w:r>
        <w:rPr>
          <w:rFonts w:ascii="Georgia" w:cs="Georgia" w:eastAsia="Georgia" w:hAnsi="Georgia"/>
          <w:color w:val="46525A"/>
          <w:sz w:val="20"/>
          <w:szCs w:val="20"/>
        </w:rPr>
        <w:t xml:space="preserve">Name  ....................................................        Title  ....................................................</w:t>
      </w:r>
    </w:p>
    <w:p>
      <w:pPr>
        <w:pBdr>
          <w:bottom w:val="single" w:color="1C9E63" w:sz="6" w:space="6"/>
        </w:pBdr>
        <w:spacing w:after="200" w:before="420"/>
      </w:pPr>
      <w:r>
        <w:rPr>
          <w:rFonts w:ascii="Arial" w:cs="Arial" w:eastAsia="Arial" w:hAnsi="Arial"/>
          <w:b/>
          <w:bCs/>
          <w:color w:val="263E4F"/>
          <w:sz w:val="26"/>
          <w:szCs w:val="26"/>
        </w:rPr>
        <w:t xml:space="preserve">Execution checklist</w:t>
      </w:r>
    </w:p>
    <w:p>
      <w:pPr>
        <w:spacing w:after="120" w:before="300"/>
      </w:pPr>
      <w:r>
        <w:rPr>
          <w:rFonts w:ascii="Arial" w:cs="Arial" w:eastAsia="Arial" w:hAnsi="Arial"/>
          <w:b/>
          <w:bCs/>
          <w:color w:val="263E4F"/>
          <w:sz w:val="22"/>
          <w:szCs w:val="22"/>
        </w:rPr>
        <w:t xml:space="preserve">Before sending</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MiliPay’s legal entity name and RC number are correct and current</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The Purpose in the Background is specific — not “potential business opportunities”</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Term and survival periods in clause 7 reflect what was actually negotiated</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One option chosen in clause 9.9, the other deleted</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All square-bracketed fields completed</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This instruction section and all drafting notes deleted</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A lawyer has reviewed the template at least once</w:t>
      </w:r>
    </w:p>
    <w:p>
      <w:pPr>
        <w:spacing w:after="120" w:before="300"/>
      </w:pPr>
      <w:r>
        <w:rPr>
          <w:rFonts w:ascii="Arial" w:cs="Arial" w:eastAsia="Arial" w:hAnsi="Arial"/>
          <w:b/>
          <w:bCs/>
          <w:color w:val="263E4F"/>
          <w:sz w:val="22"/>
          <w:szCs w:val="22"/>
        </w:rPr>
        <w:t xml:space="preserve">After signing</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A countersigned copy is filed in Drive under MiliPay / Documentation / 03 Legal / Executed</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The expiry date is diarised</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Anyone at MiliPay who will speak to the counterparty knows what is and is not covered</w:t>
      </w:r>
    </w:p>
    <w:p>
      <w:pPr>
        <w:pBdr>
          <w:bottom w:val="single" w:color="D8DDE1" w:sz="4" w:space="4"/>
        </w:pBdr>
        <w:spacing w:after="200" w:before="200"/>
      </w:pPr>
    </w:p>
    <w:p>
      <w:pPr>
        <w:spacing w:before="120"/>
      </w:pPr>
      <w:r>
        <w:rPr>
          <w:rFonts w:ascii="Georgia" w:cs="Georgia" w:eastAsia="Georgia" w:hAnsi="Georgia"/>
          <w:i/>
          <w:iCs/>
          <w:color w:val="6B7780"/>
          <w:sz w:val="17"/>
          <w:szCs w:val="17"/>
        </w:rPr>
        <w:t xml:space="preserve">Template prepared as part of the MiliPay documentation programme, 19 September 2026. Not legal advice. Have a Nigerian commercial lawyer review before first use.</w:t>
      </w:r>
    </w:p>
    <w:sectPr>
      <w:headerReference w:type="default" r:id="rId7"/>
      <w:headerReference w:type="first" r:id="rId8"/>
      <w:footerReference w:type="default" r:id="rId9"/>
      <w:footerReference w:type="first" r:id="rId10"/>
      <w:pgSz w:w="11906" w:h="16838" w:orient="portrait"/>
      <w:pgMar w:top="1985" w:right="1418" w:bottom="1418" w:left="1418" w:header="680"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1" w:sz="4" w:space="8"/>
      </w:pBdr>
      <w:spacing w:before="60"/>
    </w:pPr>
    <w:r>
      <w:rPr>
        <w:rFonts w:ascii="Arial" w:cs="Arial" w:eastAsia="Arial" w:hAnsi="Arial"/>
        <w:color w:val="6B7780"/>
        <w:sz w:val="15"/>
        <w:szCs w:val="15"/>
      </w:rPr>
      <w:t xml:space="preserve">MiliPay — Confidential</w:t>
    </w:r>
    <w:r>
      <w:rPr>
        <w:rFonts w:ascii="Arial" w:cs="Arial" w:eastAsia="Arial" w:hAnsi="Arial"/>
        <w:color w:val="6B7780"/>
        <w:sz w:val="15"/>
        <w:szCs w:val="15"/>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1" w:sz="4" w:space="8"/>
      </w:pBdr>
      <w:spacing w:after="80"/>
    </w:pPr>
    <w:r>
      <w:drawing>
        <wp:inline distT="0" distB="0" distL="0" distR="0">
          <wp:extent cx="13716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71600" cy="314325"/>
                  </a:xfrm>
                  <a:prstGeom prst="rect">
                    <a:avLst/>
                  </a:prstGeom>
                </pic:spPr>
              </pic:pic>
            </a:graphicData>
          </a:graphic>
        </wp:inline>
      </w:drawing>
    </w:r>
    <w:r>
      <w:drawing>
        <wp:anchor distT="0" distB="0" distL="0" distR="0" simplePos="0" allowOverlap="1" behindDoc="1" locked="0" layoutInCell="1" relativeHeight="1190625">
          <wp:simplePos x="0" y="0"/>
          <wp:positionH relativeFrom="page">
            <wp:align>center</wp:align>
          </wp:positionH>
          <wp:positionV relativeFrom="page">
            <wp:align>center</wp:align>
          </wp:positionV>
          <wp:extent cx="5219700" cy="11906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219700" cy="11906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3e0989ba344b83a3cd5ada373155c6ac4430dc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3e0989ba344b83a3cd5ada373155c6ac4430dcd.png"/><Relationship Id="rId1" Type="http://schemas.openxmlformats.org/officeDocument/2006/relationships/image" Target="media/bf5121a7b7116315fc971d9aae4a8f9d37f8e4b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MiliPay — Mutual Non-Disclosure Agreement (Template)</dc:title>
  <dc:creator>MiliPay</dc:creator>
  <dc:description>LEG-001 · Version 1.0 · Confidential</dc:description>
  <cp:lastModifiedBy>Un-named</cp:lastModifiedBy>
  <cp:revision>1</cp:revision>
  <dcterms:created xsi:type="dcterms:W3CDTF">2026-09-20T11:40:07.471Z</dcterms:created>
  <dcterms:modified xsi:type="dcterms:W3CDTF">2026-09-20T11:40:07.471Z</dcterms:modified>
</cp:coreProperties>
</file>

<file path=docProps/custom.xml><?xml version="1.0" encoding="utf-8"?>
<Properties xmlns="http://schemas.openxmlformats.org/officeDocument/2006/custom-properties" xmlns:vt="http://schemas.openxmlformats.org/officeDocument/2006/docPropsVTypes"/>
</file>