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900"/>
      </w:pPr>
      <w:r>
        <w:drawing>
          <wp:inline distT="0" distB="0" distL="0" distR="0">
            <wp:extent cx="222885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28850" cy="504825"/>
                    </a:xfrm>
                    <a:prstGeom prst="rect">
                      <a:avLst/>
                    </a:prstGeom>
                  </pic:spPr>
                </pic:pic>
              </a:graphicData>
            </a:graphic>
          </wp:inline>
        </w:drawing>
      </w:r>
    </w:p>
    <w:p>
      <w:pPr>
        <w:spacing w:after="140" w:line="400"/>
      </w:pPr>
      <w:r>
        <w:rPr>
          <w:rFonts w:ascii="Arial" w:cs="Arial" w:eastAsia="Arial" w:hAnsi="Arial"/>
          <w:b/>
          <w:bCs/>
          <w:color w:val="263E4F"/>
          <w:sz w:val="52"/>
          <w:szCs w:val="52"/>
        </w:rPr>
        <w:t xml:space="preserve">Product</w:t>
      </w:r>
      <w:r>
        <w:rPr>
          <w:rFonts w:ascii="Arial" w:cs="Arial" w:eastAsia="Arial" w:hAnsi="Arial"/>
          <w:b/>
          <w:bCs/>
          <w:color w:val="263E4F"/>
          <w:sz w:val="52"/>
          <w:szCs w:val="52"/>
        </w:rPr>
        <w:br/>
        <w:t xml:space="preserve">Specification</w:t>
      </w:r>
    </w:p>
    <w:p>
      <w:pPr>
        <w:pBdr>
          <w:bottom w:val="single" w:color="1C9E63" w:sz="12" w:space="10"/>
        </w:pBdr>
        <w:spacing w:after="520"/>
      </w:pPr>
    </w:p>
    <w:p>
      <w:pPr>
        <w:spacing w:after="520"/>
      </w:pPr>
      <w:r>
        <w:rPr>
          <w:rFonts w:ascii="Georgia" w:cs="Georgia" w:eastAsia="Georgia" w:hAnsi="Georgia"/>
          <w:i/>
          <w:iCs/>
          <w:color w:val="3C474F"/>
          <w:sz w:val="22"/>
          <w:szCs w:val="22"/>
        </w:rPr>
        <w:t xml:space="preserve">What MiliPay does, for whom, under what rules — and which parts of it are specified but not yet built.</w:t>
      </w:r>
    </w:p>
    <w:p>
      <w:pPr>
        <w:spacing w:after="60"/>
      </w:pPr>
      <w:r>
        <w:rPr>
          <w:rFonts w:ascii="Arial" w:cs="Arial" w:eastAsia="Arial" w:hAnsi="Arial"/>
          <w:b/>
          <w:bCs/>
          <w:color w:val="6B7780"/>
          <w:spacing w:val="24"/>
          <w:sz w:val="15"/>
          <w:szCs w:val="15"/>
        </w:rPr>
        <w:t xml:space="preserve">DOCUMENT   </w:t>
      </w:r>
      <w:r>
        <w:rPr>
          <w:rFonts w:ascii="Arial" w:cs="Arial" w:eastAsia="Arial" w:hAnsi="Arial"/>
          <w:color w:val="263E4F"/>
          <w:sz w:val="18"/>
          <w:szCs w:val="18"/>
        </w:rPr>
        <w:t xml:space="preserve">PRD-001</w:t>
      </w:r>
    </w:p>
    <w:p>
      <w:pPr>
        <w:spacing w:after="60"/>
      </w:pPr>
      <w:r>
        <w:rPr>
          <w:rFonts w:ascii="Arial" w:cs="Arial" w:eastAsia="Arial" w:hAnsi="Arial"/>
          <w:b/>
          <w:bCs/>
          <w:color w:val="6B7780"/>
          <w:spacing w:val="24"/>
          <w:sz w:val="15"/>
          <w:szCs w:val="15"/>
        </w:rPr>
        <w:t xml:space="preserve">VERSION   </w:t>
      </w:r>
      <w:r>
        <w:rPr>
          <w:rFonts w:ascii="Arial" w:cs="Arial" w:eastAsia="Arial" w:hAnsi="Arial"/>
          <w:color w:val="263E4F"/>
          <w:sz w:val="18"/>
          <w:szCs w:val="18"/>
        </w:rPr>
        <w:t xml:space="preserve">2.0</w:t>
      </w:r>
    </w:p>
    <w:p>
      <w:pPr>
        <w:spacing w:after="60"/>
      </w:pPr>
      <w:r>
        <w:rPr>
          <w:rFonts w:ascii="Arial" w:cs="Arial" w:eastAsia="Arial" w:hAnsi="Arial"/>
          <w:b/>
          <w:bCs/>
          <w:color w:val="6B7780"/>
          <w:spacing w:val="24"/>
          <w:sz w:val="15"/>
          <w:szCs w:val="15"/>
        </w:rPr>
        <w:t xml:space="preserve">DATE   </w:t>
      </w:r>
      <w:r>
        <w:rPr>
          <w:rFonts w:ascii="Arial" w:cs="Arial" w:eastAsia="Arial" w:hAnsi="Arial"/>
          <w:color w:val="263E4F"/>
          <w:sz w:val="18"/>
          <w:szCs w:val="18"/>
        </w:rPr>
        <w:t xml:space="preserve">20 September 2026</w:t>
      </w:r>
    </w:p>
    <w:p>
      <w:pPr>
        <w:spacing w:after="60"/>
      </w:pPr>
      <w:r>
        <w:rPr>
          <w:rFonts w:ascii="Arial" w:cs="Arial" w:eastAsia="Arial" w:hAnsi="Arial"/>
          <w:b/>
          <w:bCs/>
          <w:color w:val="6B7780"/>
          <w:spacing w:val="24"/>
          <w:sz w:val="15"/>
          <w:szCs w:val="15"/>
        </w:rPr>
        <w:t xml:space="preserve">CLASSIFICATION   </w:t>
      </w:r>
      <w:r>
        <w:rPr>
          <w:rFonts w:ascii="Arial" w:cs="Arial" w:eastAsia="Arial" w:hAnsi="Arial"/>
          <w:color w:val="263E4F"/>
          <w:sz w:val="18"/>
          <w:szCs w:val="18"/>
        </w:rPr>
        <w:t xml:space="preserve">Confidential</w:t>
      </w:r>
    </w:p>
    <w:p>
      <w:r>
        <w:br w:type="page"/>
      </w:r>
    </w:p>
    <w:p>
      <w:pPr>
        <w:pBdr>
          <w:bottom w:val="single" w:color="1C9E63" w:sz="6" w:space="6"/>
        </w:pBdr>
        <w:spacing w:after="200" w:before="420"/>
      </w:pPr>
      <w:r>
        <w:rPr>
          <w:rFonts w:ascii="Arial" w:cs="Arial" w:eastAsia="Arial" w:hAnsi="Arial"/>
          <w:b/>
          <w:bCs/>
          <w:color w:val="263E4F"/>
          <w:sz w:val="26"/>
          <w:szCs w:val="26"/>
        </w:rPr>
        <w:t xml:space="preserve">The product in one line</w:t>
      </w:r>
    </w:p>
    <w:p>
      <w:pPr>
        <w:spacing w:after="220" w:line="288"/>
      </w:pPr>
      <w:r>
        <w:rPr>
          <w:rFonts w:ascii="Georgia" w:cs="Georgia" w:eastAsia="Georgia" w:hAnsi="Georgia"/>
          <w:color w:val="263E4F"/>
          <w:sz w:val="24"/>
          <w:szCs w:val="24"/>
        </w:rPr>
        <w:t xml:space="preserve">MiliPay lets a Nigerian pay at the till with their palm, straight from their own bank account — no card, no phone, no stored value.</w:t>
      </w:r>
    </w:p>
    <w:p>
      <w:pPr>
        <w:spacing w:after="160" w:line="276"/>
        <w:jc w:val="both"/>
      </w:pPr>
      <w:r>
        <w:rPr>
          <w:rFonts w:ascii="Georgia" w:cs="Georgia" w:eastAsia="Georgia" w:hAnsi="Georgia"/>
          <w:color w:val="232B31"/>
          <w:sz w:val="21"/>
          <w:szCs w:val="21"/>
        </w:rPr>
        <w:t xml:space="preserve">MiliPay never takes custody of customer funds. It authenticates a person and initiates a payment against an account that person already owns. That single constraint shapes the product, the regulatory position and the partnership model.</w:t>
      </w:r>
    </w:p>
    <w:p>
      <w:pPr>
        <w:pBdr>
          <w:bottom w:val="single" w:color="1C9E63" w:sz="6" w:space="6"/>
        </w:pBdr>
        <w:spacing w:after="200" w:before="420"/>
      </w:pPr>
      <w:r>
        <w:rPr>
          <w:rFonts w:ascii="Arial" w:cs="Arial" w:eastAsia="Arial" w:hAnsi="Arial"/>
          <w:b/>
          <w:bCs/>
          <w:color w:val="263E4F"/>
          <w:sz w:val="26"/>
          <w:szCs w:val="26"/>
        </w:rPr>
        <w:t xml:space="preserve">Who uses it</w:t>
      </w:r>
    </w:p>
    <w:p>
      <w:pPr>
        <w:spacing w:after="60"/>
      </w:pPr>
    </w:p>
    <w:tbl>
      <w:tblPr>
        <w:tblW w:type="dxa" w:w="9070"/>
        <w:tblBorders>
          <w:top w:val="single" w:color="D8DDE1" w:sz="2"/>
          <w:left w:val="none" w:color="FFFFFF" w:sz="0"/>
          <w:bottom w:val="single" w:color="D8DDE1" w:sz="2"/>
          <w:right w:val="none" w:color="FFFFFF" w:sz="0"/>
          <w:insideH w:val="single" w:color="D8DDE1" w:sz="2"/>
          <w:insideV w:val="none" w:color="FFFFFF" w:sz="0"/>
        </w:tblBorders>
      </w:tblPr>
      <w:tblGrid>
        <w:gridCol w:w="1500"/>
        <w:gridCol w:w="2400"/>
        <w:gridCol w:w="5170"/>
      </w:tblGrid>
      <w:tr>
        <w:trPr>
          <w:tblHeader/>
        </w:trPr>
        <w:tc>
          <w:tcPr>
            <w:tcW w:type="dxa" w:w="150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User</w:t>
            </w:r>
          </w:p>
        </w:tc>
        <w:tc>
          <w:tcPr>
            <w:tcW w:type="dxa" w:w="240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Where</w:t>
            </w:r>
          </w:p>
        </w:tc>
        <w:tc>
          <w:tcPr>
            <w:tcW w:type="dxa" w:w="517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What they do</w:t>
            </w:r>
          </w:p>
        </w:tc>
      </w:tr>
      <w:tr>
        <w:tc>
          <w:tcPr>
            <w:tcW w:type="dxa" w:w="15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Customer</w:t>
            </w:r>
          </w:p>
        </w:tc>
        <w:tc>
          <w:tcPr>
            <w:tcW w:type="dxa" w:w="24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Mobile app, and any participating till</w:t>
            </w:r>
          </w:p>
        </w:tc>
        <w:tc>
          <w:tcPr>
            <w:tcW w:type="dxa" w:w="51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Enrols once in person, links up to three bank accounts, pays by palm, buys airtime and bills, raises complaints by live chat</w:t>
            </w:r>
          </w:p>
        </w:tc>
      </w:tr>
      <w:tr>
        <w:tc>
          <w:tcPr>
            <w:tcW w:type="dxa" w:w="15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Field agent</w:t>
            </w:r>
          </w:p>
        </w:tc>
        <w:tc>
          <w:tcPr>
            <w:tcW w:type="dxa" w:w="24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Agent portal on a rugged handheld</w:t>
            </w:r>
          </w:p>
        </w:tc>
        <w:tc>
          <w:tcPr>
            <w:tcW w:type="dxa" w:w="51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Enrols customers in person, registers merchants, pairs terminals, handles walk-in complaints</w:t>
            </w:r>
          </w:p>
        </w:tc>
      </w:tr>
      <w:tr>
        <w:tc>
          <w:tcPr>
            <w:tcW w:type="dxa" w:w="15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Support staff</w:t>
            </w:r>
          </w:p>
        </w:tc>
        <w:tc>
          <w:tcPr>
            <w:tcW w:type="dxa" w:w="24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Service portal</w:t>
            </w:r>
          </w:p>
        </w:tc>
        <w:tc>
          <w:tcPr>
            <w:tcW w:type="dxa" w:w="51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Answers live chat from the app, resolves tier-1 issues, escalates the rest</w:t>
            </w:r>
          </w:p>
        </w:tc>
      </w:tr>
      <w:tr>
        <w:tc>
          <w:tcPr>
            <w:tcW w:type="dxa" w:w="15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Administrator</w:t>
            </w:r>
          </w:p>
        </w:tc>
        <w:tc>
          <w:tcPr>
            <w:tcW w:type="dxa" w:w="24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Admin panel</w:t>
            </w:r>
          </w:p>
        </w:tc>
        <w:tc>
          <w:tcPr>
            <w:tcW w:type="dxa" w:w="51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Approves enrolments and merchants, manages the terminal fleet, handles escalations, audits settlement</w:t>
            </w:r>
          </w:p>
        </w:tc>
      </w:tr>
      <w:tr>
        <w:tc>
          <w:tcPr>
            <w:tcW w:type="dxa" w:w="15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Merchant</w:t>
            </w:r>
          </w:p>
        </w:tc>
        <w:tc>
          <w:tcPr>
            <w:tcW w:type="dxa" w:w="24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Merchant portal and the POS terminal</w:t>
            </w:r>
          </w:p>
        </w:tc>
        <w:tc>
          <w:tcPr>
            <w:tcW w:type="dxa" w:w="51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Takes payments, watches sales and terminal health, reconciles settlement</w:t>
            </w:r>
          </w:p>
        </w:tc>
      </w:tr>
    </w:tbl>
    <w:p>
      <w:pPr>
        <w:pBdr>
          <w:bottom w:val="single" w:color="1C9E63" w:sz="6" w:space="6"/>
        </w:pBdr>
        <w:spacing w:after="200" w:before="420"/>
      </w:pPr>
      <w:r>
        <w:rPr>
          <w:rFonts w:ascii="Arial" w:cs="Arial" w:eastAsia="Arial" w:hAnsi="Arial"/>
          <w:b/>
          <w:bCs/>
          <w:color w:val="263E4F"/>
          <w:sz w:val="26"/>
          <w:szCs w:val="26"/>
        </w:rPr>
        <w:t xml:space="preserve">Enrolment</w:t>
      </w:r>
    </w:p>
    <w:p>
      <w:pPr>
        <w:spacing w:after="160" w:line="276"/>
        <w:jc w:val="both"/>
      </w:pPr>
      <w:r>
        <w:rPr>
          <w:rFonts w:ascii="Georgia" w:cs="Georgia" w:eastAsia="Georgia" w:hAnsi="Georgia"/>
          <w:color w:val="232B31"/>
          <w:sz w:val="21"/>
          <w:szCs w:val="21"/>
        </w:rPr>
        <w:t xml:space="preserve">Enrolment is deliberately in person. A field agent meets the customer, captures their National Identification Number, and captures a palm vein template on a dual-lens near-infrared and RGB scanner with liveness detection. The submission is reviewed by an administrator before the account becomes active, and both the registering agent and the verifying administrator are recorded against the customer.</w:t>
      </w:r>
    </w:p>
    <w:p>
      <w:pPr>
        <w:spacing w:after="160" w:line="276"/>
        <w:jc w:val="both"/>
      </w:pPr>
      <w:r>
        <w:rPr>
          <w:rFonts w:ascii="Georgia" w:cs="Georgia" w:eastAsia="Georgia" w:hAnsi="Georgia"/>
          <w:color w:val="232B31"/>
          <w:sz w:val="21"/>
          <w:szCs w:val="21"/>
        </w:rPr>
        <w:t xml:space="preserve">A customer who completes enrolment is placed at KYC Tier 2. They then link their own bank accounts through the Mono Connect widget — the app never sees or collects bank credentials, and MiliPay never handles the secret key.</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Specified but not enforced.  </w:t>
      </w:r>
      <w:r>
        <w:rPr>
          <w:rFonts w:ascii="Georgia" w:cs="Georgia" w:eastAsia="Georgia" w:hAnsi="Georgia"/>
          <w:i/>
          <w:iCs/>
          <w:color w:val="46525A"/>
          <w:sz w:val="19"/>
          <w:szCs w:val="19"/>
        </w:rPr>
        <w:t xml:space="preserve">The NIN is recorded as the agent typed it. There is no verification against NIMC, and the profile is nevertheless written with is_verified set to true. This is enrolment-fraud exposure sitting directly on the least-supervised trust boundary in the company, and it must close before the pilot.</w:t>
      </w:r>
    </w:p>
    <w:p>
      <w:pPr>
        <w:pBdr>
          <w:bottom w:val="single" w:color="1C9E63" w:sz="6" w:space="6"/>
        </w:pBdr>
        <w:spacing w:after="200" w:before="420"/>
      </w:pPr>
      <w:r>
        <w:rPr>
          <w:rFonts w:ascii="Arial" w:cs="Arial" w:eastAsia="Arial" w:hAnsi="Arial"/>
          <w:b/>
          <w:bCs/>
          <w:color w:val="263E4F"/>
          <w:sz w:val="26"/>
          <w:szCs w:val="26"/>
        </w:rPr>
        <w:t xml:space="preserve">Paying at the till</w:t>
      </w:r>
    </w:p>
    <w:p>
      <w:pPr>
        <w:spacing w:after="150" w:line="276"/>
        <w:ind w:left="567" w:hanging="567"/>
        <w:jc w:val="both"/>
      </w:pPr>
      <w:r>
        <w:rPr>
          <w:rFonts w:ascii="Arial" w:cs="Arial" w:eastAsia="Arial" w:hAnsi="Arial"/>
          <w:b/>
          <w:bCs/>
          <w:color w:val="263E4F"/>
          <w:sz w:val="20"/>
          <w:szCs w:val="20"/>
        </w:rPr>
        <w:t xml:space="preserve">1	</w:t>
      </w:r>
      <w:r>
        <w:rPr>
          <w:rFonts w:ascii="Georgia" w:cs="Georgia" w:eastAsia="Georgia" w:hAnsi="Georgia"/>
          <w:color w:val="232B31"/>
          <w:sz w:val="21"/>
          <w:szCs w:val="21"/>
        </w:rPr>
        <w:t xml:space="preserve">The cashier enters the amount on the terminal.</w:t>
      </w:r>
    </w:p>
    <w:p>
      <w:pPr>
        <w:spacing w:after="150" w:line="276"/>
        <w:ind w:left="567" w:hanging="567"/>
        <w:jc w:val="both"/>
      </w:pPr>
      <w:r>
        <w:rPr>
          <w:rFonts w:ascii="Arial" w:cs="Arial" w:eastAsia="Arial" w:hAnsi="Arial"/>
          <w:b/>
          <w:bCs/>
          <w:color w:val="263E4F"/>
          <w:sz w:val="20"/>
          <w:szCs w:val="20"/>
        </w:rPr>
        <w:t xml:space="preserve">2	</w:t>
      </w:r>
      <w:r>
        <w:rPr>
          <w:rFonts w:ascii="Georgia" w:cs="Georgia" w:eastAsia="Georgia" w:hAnsi="Georgia"/>
          <w:color w:val="232B31"/>
          <w:sz w:val="21"/>
          <w:szCs w:val="21"/>
        </w:rPr>
        <w:t xml:space="preserve">The customer holds their palm 10 to 15cm above the sensor. Liveness detection rejects photographs, screens and moulded hands. On-screen prompts guide the customer when the palm is too close, too far, or moving; the terminal LED breathes blue during capture.</w:t>
      </w:r>
    </w:p>
    <w:p>
      <w:pPr>
        <w:spacing w:after="150" w:line="276"/>
        <w:ind w:left="567" w:hanging="567"/>
        <w:jc w:val="both"/>
      </w:pPr>
      <w:r>
        <w:rPr>
          <w:rFonts w:ascii="Arial" w:cs="Arial" w:eastAsia="Arial" w:hAnsi="Arial"/>
          <w:b/>
          <w:bCs/>
          <w:color w:val="263E4F"/>
          <w:sz w:val="20"/>
          <w:szCs w:val="20"/>
        </w:rPr>
        <w:t xml:space="preserve">3	</w:t>
      </w:r>
      <w:r>
        <w:rPr>
          <w:rFonts w:ascii="Georgia" w:cs="Georgia" w:eastAsia="Georgia" w:hAnsi="Georgia"/>
          <w:color w:val="232B31"/>
          <w:sz w:val="21"/>
          <w:szCs w:val="21"/>
        </w:rPr>
        <w:t xml:space="preserve">The terminal extracts the infrared feature, base64-encodes it, and calls the payment service.</w:t>
      </w:r>
    </w:p>
    <w:p>
      <w:pPr>
        <w:spacing w:after="150" w:line="276"/>
        <w:ind w:left="567" w:hanging="567"/>
        <w:jc w:val="both"/>
      </w:pPr>
      <w:r>
        <w:rPr>
          <w:rFonts w:ascii="Arial" w:cs="Arial" w:eastAsia="Arial" w:hAnsi="Arial"/>
          <w:b/>
          <w:bCs/>
          <w:color w:val="263E4F"/>
          <w:sz w:val="20"/>
          <w:szCs w:val="20"/>
        </w:rPr>
        <w:t xml:space="preserve">4	</w:t>
      </w:r>
      <w:r>
        <w:rPr>
          <w:rFonts w:ascii="Georgia" w:cs="Georgia" w:eastAsia="Georgia" w:hAnsi="Georgia"/>
          <w:color w:val="232B31"/>
          <w:sz w:val="21"/>
          <w:szCs w:val="21"/>
        </w:rPr>
        <w:t xml:space="preserve">The service identifies the customer by matching the palm against enrolled templates held in memory, requiring a similarity score of at least 0.82.</w:t>
      </w:r>
    </w:p>
    <w:p>
      <w:pPr>
        <w:spacing w:after="150" w:line="276"/>
        <w:ind w:left="567" w:hanging="567"/>
        <w:jc w:val="both"/>
      </w:pPr>
      <w:r>
        <w:rPr>
          <w:rFonts w:ascii="Arial" w:cs="Arial" w:eastAsia="Arial" w:hAnsi="Arial"/>
          <w:b/>
          <w:bCs/>
          <w:color w:val="263E4F"/>
          <w:sz w:val="20"/>
          <w:szCs w:val="20"/>
        </w:rPr>
        <w:t xml:space="preserve">5	</w:t>
      </w:r>
      <w:r>
        <w:rPr>
          <w:rFonts w:ascii="Georgia" w:cs="Georgia" w:eastAsia="Georgia" w:hAnsi="Georgia"/>
          <w:color w:val="232B31"/>
          <w:sz w:val="21"/>
          <w:szCs w:val="21"/>
        </w:rPr>
        <w:t xml:space="preserve">Tier limits, the PIN challenge and the daily cap are applied.</w:t>
      </w:r>
    </w:p>
    <w:p>
      <w:pPr>
        <w:spacing w:after="150" w:line="276"/>
        <w:ind w:left="567" w:hanging="567"/>
        <w:jc w:val="both"/>
      </w:pPr>
      <w:r>
        <w:rPr>
          <w:rFonts w:ascii="Arial" w:cs="Arial" w:eastAsia="Arial" w:hAnsi="Arial"/>
          <w:b/>
          <w:bCs/>
          <w:color w:val="263E4F"/>
          <w:sz w:val="20"/>
          <w:szCs w:val="20"/>
        </w:rPr>
        <w:t xml:space="preserve">6	</w:t>
      </w:r>
      <w:r>
        <w:rPr>
          <w:rFonts w:ascii="Georgia" w:cs="Georgia" w:eastAsia="Georgia" w:hAnsi="Georgia"/>
          <w:color w:val="232B31"/>
          <w:sz w:val="21"/>
          <w:szCs w:val="21"/>
        </w:rPr>
        <w:t xml:space="preserve">The debit is executed and settlement split — 98.5 percent to the merchant, 1.5 percent to MiliPay.</w:t>
      </w:r>
    </w:p>
    <w:p>
      <w:pPr>
        <w:spacing w:after="150" w:line="276"/>
        <w:ind w:left="567" w:hanging="567"/>
        <w:jc w:val="both"/>
      </w:pPr>
      <w:r>
        <w:rPr>
          <w:rFonts w:ascii="Arial" w:cs="Arial" w:eastAsia="Arial" w:hAnsi="Arial"/>
          <w:b/>
          <w:bCs/>
          <w:color w:val="263E4F"/>
          <w:sz w:val="20"/>
          <w:szCs w:val="20"/>
        </w:rPr>
        <w:t xml:space="preserve">7	</w:t>
      </w:r>
      <w:r>
        <w:rPr>
          <w:rFonts w:ascii="Georgia" w:cs="Georgia" w:eastAsia="Georgia" w:hAnsi="Georgia"/>
          <w:color w:val="232B31"/>
          <w:sz w:val="21"/>
          <w:szCs w:val="21"/>
        </w:rPr>
        <w:t xml:space="preserve">The transaction is recorded and a receipt printed. The LED turns green on approval, red on decline.</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Steps 4 and 6 are the gaps.  </w:t>
      </w:r>
      <w:r>
        <w:rPr>
          <w:rFonts w:ascii="Georgia" w:cs="Georgia" w:eastAsia="Georgia" w:hAnsi="Georgia"/>
          <w:i/>
          <w:iCs/>
          <w:color w:val="46525A"/>
          <w:sz w:val="19"/>
          <w:szCs w:val="19"/>
        </w:rPr>
        <w:t xml:space="preserve">The matching call is correctly wired and fails closed, but the service it calls has not been built, so every card-present payment currently declines. Step 6 does not happen at all: the split is calculated and the transaction is recorded, but no money moves. Everything else in this sequence works.</w:t>
      </w:r>
    </w:p>
    <w:p>
      <w:pPr>
        <w:pBdr>
          <w:bottom w:val="single" w:color="1C9E63" w:sz="6" w:space="6"/>
        </w:pBdr>
        <w:spacing w:after="200" w:before="420"/>
      </w:pPr>
      <w:r>
        <w:rPr>
          <w:rFonts w:ascii="Arial" w:cs="Arial" w:eastAsia="Arial" w:hAnsi="Arial"/>
          <w:b/>
          <w:bCs/>
          <w:color w:val="263E4F"/>
          <w:sz w:val="26"/>
          <w:szCs w:val="26"/>
        </w:rPr>
        <w:t xml:space="preserve">Limits and the PIN</w:t>
      </w:r>
    </w:p>
    <w:p>
      <w:pPr>
        <w:spacing w:after="160" w:line="276"/>
        <w:jc w:val="both"/>
      </w:pPr>
      <w:r>
        <w:rPr>
          <w:rFonts w:ascii="Georgia" w:cs="Georgia" w:eastAsia="Georgia" w:hAnsi="Georgia"/>
          <w:color w:val="232B31"/>
          <w:sz w:val="21"/>
          <w:szCs w:val="21"/>
        </w:rPr>
        <w:t xml:space="preserve">Every customer sits in a KYC tier aligned to CBN expectations. Tier 3 is specified and shown with a “coming soon” badge rather than being live.</w:t>
      </w:r>
    </w:p>
    <w:p>
      <w:pPr>
        <w:spacing w:after="120"/>
      </w:pPr>
    </w:p>
    <w:tbl>
      <w:tblPr>
        <w:tblW w:type="dxa" w:w="9070"/>
        <w:tblBorders>
          <w:top w:val="single" w:color="D8DDE1" w:sz="2"/>
          <w:left w:val="none" w:color="FFFFFF" w:sz="0"/>
          <w:bottom w:val="single" w:color="D8DDE1" w:sz="2"/>
          <w:right w:val="none" w:color="FFFFFF" w:sz="0"/>
          <w:insideH w:val="single" w:color="D8DDE1" w:sz="2"/>
          <w:insideV w:val="none" w:color="FFFFFF" w:sz="0"/>
        </w:tblBorders>
      </w:tblPr>
      <w:tblGrid>
        <w:gridCol w:w="1000"/>
        <w:gridCol w:w="4570"/>
        <w:gridCol w:w="1750"/>
        <w:gridCol w:w="1750"/>
      </w:tblGrid>
      <w:tr>
        <w:trPr>
          <w:tblHeader/>
        </w:trPr>
        <w:tc>
          <w:tcPr>
            <w:tcW w:type="dxa" w:w="100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Tier</w:t>
            </w:r>
          </w:p>
        </w:tc>
        <w:tc>
          <w:tcPr>
            <w:tcW w:type="dxa" w:w="457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How you get there</w:t>
            </w:r>
          </w:p>
        </w:tc>
        <w:tc>
          <w:tcPr>
            <w:tcW w:type="dxa" w:w="1750"/>
            <w:shd w:fill="263E4F" w:val="clear"/>
            <w:tcMar>
              <w:top w:type="dxa" w:w="90"/>
              <w:left w:type="dxa" w:w="130"/>
              <w:bottom w:type="dxa" w:w="90"/>
              <w:right w:type="dxa" w:w="130"/>
            </w:tcMar>
          </w:tcPr>
          <w:p>
            <w:pPr>
              <w:jc w:val="right"/>
            </w:pPr>
            <w:r>
              <w:rPr>
                <w:rFonts w:ascii="Arial" w:cs="Arial" w:eastAsia="Arial" w:hAnsi="Arial"/>
                <w:b/>
                <w:bCs/>
                <w:color w:val="FFFFFF"/>
                <w:sz w:val="17"/>
                <w:szCs w:val="17"/>
              </w:rPr>
              <w:t xml:space="preserve">Max single</w:t>
            </w:r>
          </w:p>
        </w:tc>
        <w:tc>
          <w:tcPr>
            <w:tcW w:type="dxa" w:w="1750"/>
            <w:shd w:fill="263E4F" w:val="clear"/>
            <w:tcMar>
              <w:top w:type="dxa" w:w="90"/>
              <w:left w:type="dxa" w:w="130"/>
              <w:bottom w:type="dxa" w:w="90"/>
              <w:right w:type="dxa" w:w="130"/>
            </w:tcMar>
          </w:tcPr>
          <w:p>
            <w:pPr>
              <w:jc w:val="right"/>
            </w:pPr>
            <w:r>
              <w:rPr>
                <w:rFonts w:ascii="Arial" w:cs="Arial" w:eastAsia="Arial" w:hAnsi="Arial"/>
                <w:b/>
                <w:bCs/>
                <w:color w:val="FFFFFF"/>
                <w:sz w:val="17"/>
                <w:szCs w:val="17"/>
              </w:rPr>
              <w:t xml:space="preserve">Max daily</w:t>
            </w:r>
          </w:p>
        </w:tc>
      </w:tr>
      <w:tr>
        <w:tc>
          <w:tcPr>
            <w:tcW w:type="dxa" w:w="10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Tier 1</w:t>
            </w:r>
          </w:p>
        </w:tc>
        <w:tc>
          <w:tcPr>
            <w:tcW w:type="dxa" w:w="45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Basic profile, before biometric enrolment</w:t>
            </w:r>
          </w:p>
        </w:tc>
        <w:tc>
          <w:tcPr>
            <w:tcW w:type="dxa" w:w="1750"/>
            <w:tcMar>
              <w:top w:type="dxa" w:w="90"/>
              <w:left w:type="dxa" w:w="130"/>
              <w:bottom w:type="dxa" w:w="90"/>
              <w:right w:type="dxa" w:w="130"/>
            </w:tcMar>
          </w:tcPr>
          <w:p>
            <w:pPr>
              <w:jc w:val="right"/>
            </w:pPr>
            <w:r>
              <w:rPr>
                <w:rFonts w:ascii="Arial" w:cs="Arial" w:eastAsia="Arial" w:hAnsi="Arial"/>
                <w:b w:val="false"/>
                <w:bCs w:val="false"/>
                <w:color w:val="232B31"/>
                <w:sz w:val="19"/>
                <w:szCs w:val="19"/>
              </w:rPr>
              <w:t xml:space="preserve">₦50,000</w:t>
            </w:r>
          </w:p>
        </w:tc>
        <w:tc>
          <w:tcPr>
            <w:tcW w:type="dxa" w:w="1750"/>
            <w:tcMar>
              <w:top w:type="dxa" w:w="90"/>
              <w:left w:type="dxa" w:w="130"/>
              <w:bottom w:type="dxa" w:w="90"/>
              <w:right w:type="dxa" w:w="130"/>
            </w:tcMar>
          </w:tcPr>
          <w:p>
            <w:pPr>
              <w:jc w:val="right"/>
            </w:pPr>
            <w:r>
              <w:rPr>
                <w:rFonts w:ascii="Arial" w:cs="Arial" w:eastAsia="Arial" w:hAnsi="Arial"/>
                <w:b w:val="false"/>
                <w:bCs w:val="false"/>
                <w:color w:val="232B31"/>
                <w:sz w:val="19"/>
                <w:szCs w:val="19"/>
              </w:rPr>
              <w:t xml:space="preserve">₦200,000</w:t>
            </w:r>
          </w:p>
        </w:tc>
      </w:tr>
      <w:tr>
        <w:tc>
          <w:tcPr>
            <w:tcW w:type="dxa" w:w="10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Tier 2</w:t>
            </w:r>
          </w:p>
        </w:tc>
        <w:tc>
          <w:tcPr>
            <w:tcW w:type="dxa" w:w="45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Default on enrolment: NIN recorded and palm captured</w:t>
            </w:r>
          </w:p>
        </w:tc>
        <w:tc>
          <w:tcPr>
            <w:tcW w:type="dxa" w:w="1750"/>
            <w:shd w:fill="F7F9FA" w:val="clear"/>
            <w:tcMar>
              <w:top w:type="dxa" w:w="90"/>
              <w:left w:type="dxa" w:w="130"/>
              <w:bottom w:type="dxa" w:w="90"/>
              <w:right w:type="dxa" w:w="130"/>
            </w:tcMar>
          </w:tcPr>
          <w:p>
            <w:pPr>
              <w:jc w:val="right"/>
            </w:pPr>
            <w:r>
              <w:rPr>
                <w:rFonts w:ascii="Arial" w:cs="Arial" w:eastAsia="Arial" w:hAnsi="Arial"/>
                <w:b w:val="false"/>
                <w:bCs w:val="false"/>
                <w:color w:val="232B31"/>
                <w:sz w:val="19"/>
                <w:szCs w:val="19"/>
              </w:rPr>
              <w:t xml:space="preserve">₦150,000</w:t>
            </w:r>
          </w:p>
        </w:tc>
        <w:tc>
          <w:tcPr>
            <w:tcW w:type="dxa" w:w="1750"/>
            <w:shd w:fill="F7F9FA" w:val="clear"/>
            <w:tcMar>
              <w:top w:type="dxa" w:w="90"/>
              <w:left w:type="dxa" w:w="130"/>
              <w:bottom w:type="dxa" w:w="90"/>
              <w:right w:type="dxa" w:w="130"/>
            </w:tcMar>
          </w:tcPr>
          <w:p>
            <w:pPr>
              <w:jc w:val="right"/>
            </w:pPr>
            <w:r>
              <w:rPr>
                <w:rFonts w:ascii="Arial" w:cs="Arial" w:eastAsia="Arial" w:hAnsi="Arial"/>
                <w:b w:val="false"/>
                <w:bCs w:val="false"/>
                <w:color w:val="232B31"/>
                <w:sz w:val="19"/>
                <w:szCs w:val="19"/>
              </w:rPr>
              <w:t xml:space="preserve">₦500,000</w:t>
            </w:r>
          </w:p>
        </w:tc>
      </w:tr>
      <w:tr>
        <w:tc>
          <w:tcPr>
            <w:tcW w:type="dxa" w:w="10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Tier 3</w:t>
            </w:r>
          </w:p>
        </w:tc>
        <w:tc>
          <w:tcPr>
            <w:tcW w:type="dxa" w:w="45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BVN verification plus proof of address — not yet live</w:t>
            </w:r>
          </w:p>
        </w:tc>
        <w:tc>
          <w:tcPr>
            <w:tcW w:type="dxa" w:w="1750"/>
            <w:tcMar>
              <w:top w:type="dxa" w:w="90"/>
              <w:left w:type="dxa" w:w="130"/>
              <w:bottom w:type="dxa" w:w="90"/>
              <w:right w:type="dxa" w:w="130"/>
            </w:tcMar>
          </w:tcPr>
          <w:p>
            <w:pPr>
              <w:jc w:val="right"/>
            </w:pPr>
            <w:r>
              <w:rPr>
                <w:rFonts w:ascii="Arial" w:cs="Arial" w:eastAsia="Arial" w:hAnsi="Arial"/>
                <w:b w:val="false"/>
                <w:bCs w:val="false"/>
                <w:color w:val="232B31"/>
                <w:sz w:val="19"/>
                <w:szCs w:val="19"/>
              </w:rPr>
              <w:t xml:space="preserve">₦250,000</w:t>
            </w:r>
          </w:p>
        </w:tc>
        <w:tc>
          <w:tcPr>
            <w:tcW w:type="dxa" w:w="1750"/>
            <w:tcMar>
              <w:top w:type="dxa" w:w="90"/>
              <w:left w:type="dxa" w:w="130"/>
              <w:bottom w:type="dxa" w:w="90"/>
              <w:right w:type="dxa" w:w="130"/>
            </w:tcMar>
          </w:tcPr>
          <w:p>
            <w:pPr>
              <w:jc w:val="right"/>
            </w:pPr>
            <w:r>
              <w:rPr>
                <w:rFonts w:ascii="Arial" w:cs="Arial" w:eastAsia="Arial" w:hAnsi="Arial"/>
                <w:b w:val="false"/>
                <w:bCs w:val="false"/>
                <w:color w:val="232B31"/>
                <w:sz w:val="19"/>
                <w:szCs w:val="19"/>
              </w:rPr>
              <w:t xml:space="preserve">₦1,000,000</w:t>
            </w:r>
          </w:p>
        </w:tc>
      </w:tr>
    </w:tbl>
    <w:p>
      <w:pPr>
        <w:spacing w:after="200"/>
      </w:pPr>
    </w:p>
    <w:p>
      <w:pPr>
        <w:spacing w:after="160" w:line="276"/>
        <w:jc w:val="both"/>
      </w:pPr>
      <w:r>
        <w:rPr>
          <w:rFonts w:ascii="Georgia" w:cs="Georgia" w:eastAsia="Georgia" w:hAnsi="Georgia"/>
          <w:color w:val="232B31"/>
          <w:sz w:val="21"/>
          <w:szCs w:val="21"/>
        </w:rPr>
        <w:t xml:space="preserve">Daily limits reset at midnight West Africa Time. Above a threshold the customer sets themselves — default ₦10,000, adjustable in the app with presets — the terminal asks for a four-digit PIN. The threshold cannot be raised above the tier’s single-transaction cap, so a customer cannot switch the challenge off by setting it high.</w:t>
      </w:r>
    </w:p>
    <w:p>
      <w:pPr>
        <w:spacing w:after="160" w:line="276"/>
        <w:jc w:val="both"/>
      </w:pPr>
      <w:r>
        <w:rPr>
          <w:rFonts w:ascii="Georgia" w:cs="Georgia" w:eastAsia="Georgia" w:hAnsi="Georgia"/>
          <w:color w:val="232B31"/>
          <w:sz w:val="21"/>
          <w:szCs w:val="21"/>
        </w:rPr>
        <w:t xml:space="preserve">The PIN is hashed with bcrypt, checked server-side only, and locks for fifteen minutes after five wrong attempts. Obvious PINs — repeated digits, 1234, 0123 and similar — are rejected at the point of setting.</w:t>
      </w:r>
    </w:p>
    <w:p>
      <w:pPr>
        <w:pBdr>
          <w:bottom w:val="single" w:color="1C9E63" w:sz="6" w:space="6"/>
        </w:pBdr>
        <w:spacing w:after="200" w:before="420"/>
      </w:pPr>
      <w:r>
        <w:rPr>
          <w:rFonts w:ascii="Arial" w:cs="Arial" w:eastAsia="Arial" w:hAnsi="Arial"/>
          <w:b/>
          <w:bCs/>
          <w:color w:val="263E4F"/>
          <w:sz w:val="26"/>
          <w:szCs w:val="26"/>
        </w:rPr>
        <w:t xml:space="preserve">When it goes wrong</w:t>
      </w:r>
    </w:p>
    <w:p>
      <w:pPr>
        <w:spacing w:after="60"/>
      </w:pPr>
    </w:p>
    <w:tbl>
      <w:tblPr>
        <w:tblW w:type="dxa" w:w="9070"/>
        <w:tblBorders>
          <w:top w:val="single" w:color="D8DDE1" w:sz="2"/>
          <w:left w:val="none" w:color="FFFFFF" w:sz="0"/>
          <w:bottom w:val="single" w:color="D8DDE1" w:sz="2"/>
          <w:right w:val="none" w:color="FFFFFF" w:sz="0"/>
          <w:insideH w:val="single" w:color="D8DDE1" w:sz="2"/>
          <w:insideV w:val="none" w:color="FFFFFF" w:sz="0"/>
        </w:tblBorders>
      </w:tblPr>
      <w:tblGrid>
        <w:gridCol w:w="2300"/>
        <w:gridCol w:w="3100"/>
        <w:gridCol w:w="3670"/>
      </w:tblGrid>
      <w:tr>
        <w:trPr>
          <w:tblHeader/>
        </w:trPr>
        <w:tc>
          <w:tcPr>
            <w:tcW w:type="dxa" w:w="230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Situation</w:t>
            </w:r>
          </w:p>
        </w:tc>
        <w:tc>
          <w:tcPr>
            <w:tcW w:type="dxa" w:w="310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What the customer sees</w:t>
            </w:r>
          </w:p>
        </w:tc>
        <w:tc>
          <w:tcPr>
            <w:tcW w:type="dxa" w:w="367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What happens</w:t>
            </w:r>
          </w:p>
        </w:tc>
      </w:tr>
      <w:tr>
        <w:tc>
          <w:tcPr>
            <w:tcW w:type="dxa" w:w="23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Palm not recognised</w:t>
            </w:r>
          </w:p>
        </w:tc>
        <w:tc>
          <w:tcPr>
            <w:tcW w:type="dxa" w:w="31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Rescan prompt</w:t>
            </w:r>
          </w:p>
        </w:tc>
        <w:tc>
          <w:tcPr>
            <w:tcW w:type="dxa" w:w="36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Declined. No funds move</w:t>
            </w:r>
          </w:p>
        </w:tc>
      </w:tr>
      <w:tr>
        <w:tc>
          <w:tcPr>
            <w:tcW w:type="dxa" w:w="23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Match confidence too low</w:t>
            </w:r>
          </w:p>
        </w:tc>
        <w:tc>
          <w:tcPr>
            <w:tcW w:type="dxa" w:w="31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Rescan prompt</w:t>
            </w:r>
          </w:p>
        </w:tc>
        <w:tc>
          <w:tcPr>
            <w:tcW w:type="dxa" w:w="36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Declined below the 0.82 threshold</w:t>
            </w:r>
          </w:p>
        </w:tc>
      </w:tr>
      <w:tr>
        <w:tc>
          <w:tcPr>
            <w:tcW w:type="dxa" w:w="23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Matcher unreachable</w:t>
            </w:r>
          </w:p>
        </w:tc>
        <w:tc>
          <w:tcPr>
            <w:tcW w:type="dxa" w:w="31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Payment declined</w:t>
            </w:r>
          </w:p>
        </w:tc>
        <w:tc>
          <w:tcPr>
            <w:tcW w:type="dxa" w:w="36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Fails closed rather than approving unverified</w:t>
            </w:r>
          </w:p>
        </w:tc>
      </w:tr>
      <w:tr>
        <w:tc>
          <w:tcPr>
            <w:tcW w:type="dxa" w:w="23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Insufficient funds</w:t>
            </w:r>
          </w:p>
        </w:tc>
        <w:tc>
          <w:tcPr>
            <w:tcW w:type="dxa" w:w="31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Red screen, failure chime</w:t>
            </w:r>
          </w:p>
        </w:tc>
        <w:tc>
          <w:tcPr>
            <w:tcW w:type="dxa" w:w="36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Declined. Option to try a backup linked account</w:t>
            </w:r>
          </w:p>
        </w:tc>
      </w:tr>
      <w:tr>
        <w:tc>
          <w:tcPr>
            <w:tcW w:type="dxa" w:w="23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Wrong PIN</w:t>
            </w:r>
          </w:p>
        </w:tc>
        <w:tc>
          <w:tcPr>
            <w:tcW w:type="dxa" w:w="31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Attempts remaining shown</w:t>
            </w:r>
          </w:p>
        </w:tc>
        <w:tc>
          <w:tcPr>
            <w:tcW w:type="dxa" w:w="36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Retry, then a 15-minute lock after five</w:t>
            </w:r>
          </w:p>
        </w:tc>
      </w:tr>
      <w:tr>
        <w:tc>
          <w:tcPr>
            <w:tcW w:type="dxa" w:w="23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Above tier limit</w:t>
            </w:r>
          </w:p>
        </w:tc>
        <w:tc>
          <w:tcPr>
            <w:tcW w:type="dxa" w:w="31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Limit and remaining allowance shown</w:t>
            </w:r>
          </w:p>
        </w:tc>
        <w:tc>
          <w:tcPr>
            <w:tcW w:type="dxa" w:w="36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Declined with the figures, not a generic error</w:t>
            </w:r>
          </w:p>
        </w:tc>
      </w:tr>
      <w:tr>
        <w:tc>
          <w:tcPr>
            <w:tcW w:type="dxa" w:w="230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Terminal offline</w:t>
            </w:r>
          </w:p>
        </w:tc>
        <w:tc>
          <w:tcPr>
            <w:tcW w:type="dxa" w:w="31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Scan refused</w:t>
            </w:r>
          </w:p>
        </w:tc>
        <w:tc>
          <w:tcPr>
            <w:tcW w:type="dxa" w:w="367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Refuses to start rather than risk an orphaned state</w:t>
            </w:r>
          </w:p>
        </w:tc>
      </w:tr>
      <w:tr>
        <w:tc>
          <w:tcPr>
            <w:tcW w:type="dxa" w:w="230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Ledger unwritable</w:t>
            </w:r>
          </w:p>
        </w:tc>
        <w:tc>
          <w:tcPr>
            <w:tcW w:type="dxa" w:w="31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Payment declined</w:t>
            </w:r>
          </w:p>
        </w:tc>
        <w:tc>
          <w:tcPr>
            <w:tcW w:type="dxa" w:w="367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Declined explicitly stating no funds moved</w:t>
            </w:r>
          </w:p>
        </w:tc>
      </w:tr>
    </w:tbl>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One product decision is still open.  </w:t>
      </w:r>
      <w:r>
        <w:rPr>
          <w:rFonts w:ascii="Georgia" w:cs="Georgia" w:eastAsia="Georgia" w:hAnsi="Georgia"/>
          <w:i/>
          <w:iCs/>
          <w:color w:val="46525A"/>
          <w:sz w:val="19"/>
          <w:szCs w:val="19"/>
        </w:rPr>
        <w:t xml:space="preserve">What should happen when a legitimate customer’s palm simply will not read — a PIN-only authorisation within a reduced limit, a guided second attempt, or a hard decline. A hard decline is the most secure option and the worst experience at the front of a queue. This should be decided on pilot data rather than in advance, but it must be decided before scale.</w:t>
      </w:r>
    </w:p>
    <w:p>
      <w:pPr>
        <w:pBdr>
          <w:bottom w:val="single" w:color="1C9E63" w:sz="6" w:space="6"/>
        </w:pBdr>
        <w:spacing w:after="200" w:before="420"/>
      </w:pPr>
      <w:r>
        <w:rPr>
          <w:rFonts w:ascii="Arial" w:cs="Arial" w:eastAsia="Arial" w:hAnsi="Arial"/>
          <w:b/>
          <w:bCs/>
          <w:color w:val="263E4F"/>
          <w:sz w:val="26"/>
          <w:szCs w:val="26"/>
        </w:rPr>
        <w:t xml:space="preserve">Value-added services</w:t>
      </w:r>
    </w:p>
    <w:p>
      <w:pPr>
        <w:spacing w:after="160" w:line="276"/>
        <w:jc w:val="both"/>
      </w:pPr>
      <w:r>
        <w:rPr>
          <w:rFonts w:ascii="Georgia" w:cs="Georgia" w:eastAsia="Georgia" w:hAnsi="Georgia"/>
          <w:color w:val="232B31"/>
          <w:sz w:val="21"/>
          <w:szCs w:val="21"/>
        </w:rPr>
        <w:t xml:space="preserve">The app sells airtime, SME data bundles, electricity tokens and cable subscriptions. Unlike the till payment, this path works end to end today. The customer is debited from a linked account, fulfilment runs through VTPass from a pre-funded float, and MiliPay keeps the margin — currently ₦25 on a data bundle and ₦30 on a cable subscription, with airtime margin and the electricity convenience fee configurable and presently set to zero.</w:t>
      </w:r>
    </w:p>
    <w:p>
      <w:pPr>
        <w:spacing w:after="160" w:line="276"/>
        <w:jc w:val="both"/>
      </w:pPr>
      <w:r>
        <w:rPr>
          <w:rFonts w:ascii="Georgia" w:cs="Georgia" w:eastAsia="Georgia" w:hAnsi="Georgia"/>
          <w:color w:val="232B31"/>
          <w:sz w:val="21"/>
          <w:szCs w:val="21"/>
        </w:rPr>
        <w:t xml:space="preserve">If fulfilment fails after the customer has been debited, the system reverses automatically. A reversal that itself fails is logged for manual settlement rather than quietly lost. Retries reuse the same upstream request identifier so the operator deduplicates them.</w:t>
      </w:r>
    </w:p>
    <w:p>
      <w:pPr>
        <w:spacing w:after="160" w:line="276"/>
        <w:jc w:val="both"/>
      </w:pPr>
      <w:r>
        <w:rPr>
          <w:rFonts w:ascii="Georgia" w:cs="Georgia" w:eastAsia="Georgia" w:hAnsi="Georgia"/>
          <w:color w:val="232B31"/>
          <w:sz w:val="21"/>
          <w:szCs w:val="21"/>
        </w:rPr>
        <w:t xml:space="preserve">This is not a side business. It gives MiliPay real transaction economics to measure before the biometric engine ships, gives a newly enrolled customer a reason to open the app between shop visits, and demonstrates to a prospective bank partner that the company can move value end to end and handle a failure correctly.</w:t>
      </w:r>
    </w:p>
    <w:p>
      <w:pPr>
        <w:pBdr>
          <w:bottom w:val="single" w:color="1C9E63" w:sz="6" w:space="6"/>
        </w:pBdr>
        <w:spacing w:after="200" w:before="420"/>
      </w:pPr>
      <w:r>
        <w:rPr>
          <w:rFonts w:ascii="Arial" w:cs="Arial" w:eastAsia="Arial" w:hAnsi="Arial"/>
          <w:b/>
          <w:bCs/>
          <w:color w:val="263E4F"/>
          <w:sz w:val="26"/>
          <w:szCs w:val="26"/>
        </w:rPr>
        <w:t xml:space="preserve">Support</w:t>
      </w:r>
    </w:p>
    <w:p>
      <w:pPr>
        <w:spacing w:after="160" w:line="276"/>
        <w:jc w:val="both"/>
      </w:pPr>
      <w:r>
        <w:rPr>
          <w:rFonts w:ascii="Georgia" w:cs="Georgia" w:eastAsia="Georgia" w:hAnsi="Georgia"/>
          <w:color w:val="232B31"/>
          <w:sz w:val="21"/>
          <w:szCs w:val="21"/>
        </w:rPr>
        <w:t xml:space="preserve">Two channels, one lifecycle. A customer either starts a live chat in the app, which lands in the service portal queue, or speaks to a field agent in person. No formal ticket exists yet at that point.</w:t>
      </w:r>
    </w:p>
    <w:p>
      <w:pPr>
        <w:spacing w:after="160" w:line="276"/>
        <w:jc w:val="both"/>
      </w:pPr>
      <w:r>
        <w:rPr>
          <w:rFonts w:ascii="Georgia" w:cs="Georgia" w:eastAsia="Georgia" w:hAnsi="Georgia"/>
          <w:color w:val="232B31"/>
          <w:sz w:val="21"/>
          <w:szCs w:val="21"/>
        </w:rPr>
        <w:t xml:space="preserve">If the issue is resolved there and then, the system mints a ticket identifier retroactively for the archive and records who solved it. If it cannot be resolved, the staff member escalates with a subject line and the ticket moves to the admin queue. Tickets are only ever created on resolution or escalation, which avoids a queue full of empty abandoned tickets.</w:t>
      </w:r>
    </w:p>
    <w:p>
      <w:pPr>
        <w:pBdr>
          <w:bottom w:val="single" w:color="1C9E63" w:sz="6" w:space="6"/>
        </w:pBdr>
        <w:spacing w:after="200" w:before="420"/>
      </w:pPr>
      <w:r>
        <w:rPr>
          <w:rFonts w:ascii="Arial" w:cs="Arial" w:eastAsia="Arial" w:hAnsi="Arial"/>
          <w:b/>
          <w:bCs/>
          <w:color w:val="263E4F"/>
          <w:sz w:val="26"/>
          <w:szCs w:val="26"/>
        </w:rPr>
        <w:t xml:space="preserve">Merchants and terminals</w:t>
      </w:r>
    </w:p>
    <w:p>
      <w:pPr>
        <w:spacing w:after="160" w:line="276"/>
        <w:jc w:val="both"/>
      </w:pPr>
      <w:r>
        <w:rPr>
          <w:rFonts w:ascii="Georgia" w:cs="Georgia" w:eastAsia="Georgia" w:hAnsi="Georgia"/>
          <w:color w:val="232B31"/>
          <w:sz w:val="21"/>
          <w:szCs w:val="21"/>
        </w:rPr>
        <w:t xml:space="preserve">A field agent registers a merchant in person and verifies the physical premises. The settlement bank account is checked in real time against NIBSS through Mono before the merchant can be activated; unverified accounts are not registered. An administrator completes the KYB review and sets the commission rate, which is configurable per merchant so a chain can be onboarded at a negotiated rate without a code change.</w:t>
      </w:r>
    </w:p>
    <w:p>
      <w:pPr>
        <w:spacing w:after="160" w:line="276"/>
        <w:jc w:val="both"/>
      </w:pPr>
      <w:r>
        <w:rPr>
          <w:rFonts w:ascii="Georgia" w:cs="Georgia" w:eastAsia="Georgia" w:hAnsi="Georgia"/>
          <w:color w:val="232B31"/>
          <w:sz w:val="21"/>
          <w:szCs w:val="21"/>
        </w:rPr>
        <w:t xml:space="preserve">Terminals are paired to a merchant by serial number. Deactivating a terminal halts biometric capture on it immediately, and a deactivated or unpaired terminal is rejected before any payment logic runs. Blacklisting a merchant locks down all their terminals at once.</w:t>
      </w:r>
    </w:p>
    <w:p>
      <w:pPr>
        <w:spacing w:after="160" w:line="276"/>
        <w:jc w:val="both"/>
      </w:pPr>
      <w:r>
        <w:rPr>
          <w:rFonts w:ascii="Georgia" w:cs="Georgia" w:eastAsia="Georgia" w:hAnsi="Georgia"/>
          <w:color w:val="232B31"/>
          <w:sz w:val="21"/>
          <w:szCs w:val="21"/>
        </w:rPr>
        <w:t xml:space="preserve">Deleting a merchant preserves their transaction history by decoupling it rather than cascading the delete, because the CBN audit trail matters more than a tidy database.</w:t>
      </w:r>
    </w:p>
    <w:p>
      <w:pPr>
        <w:pBdr>
          <w:bottom w:val="single" w:color="1C9E63" w:sz="6" w:space="6"/>
        </w:pBdr>
        <w:spacing w:after="200" w:before="420"/>
      </w:pPr>
      <w:r>
        <w:rPr>
          <w:rFonts w:ascii="Arial" w:cs="Arial" w:eastAsia="Arial" w:hAnsi="Arial"/>
          <w:b/>
          <w:bCs/>
          <w:color w:val="263E4F"/>
          <w:sz w:val="26"/>
          <w:szCs w:val="26"/>
        </w:rPr>
        <w:t xml:space="preserve">Built, and not built</w:t>
      </w:r>
    </w:p>
    <w:p>
      <w:pPr>
        <w:spacing w:after="60"/>
      </w:pPr>
    </w:p>
    <w:tbl>
      <w:tblPr>
        <w:tblW w:type="dxa" w:w="9070"/>
        <w:tblBorders>
          <w:top w:val="single" w:color="D8DDE1" w:sz="2"/>
          <w:left w:val="none" w:color="FFFFFF" w:sz="0"/>
          <w:bottom w:val="single" w:color="D8DDE1" w:sz="2"/>
          <w:right w:val="none" w:color="FFFFFF" w:sz="0"/>
          <w:insideH w:val="single" w:color="D8DDE1" w:sz="2"/>
          <w:insideV w:val="none" w:color="FFFFFF" w:sz="0"/>
        </w:tblBorders>
      </w:tblPr>
      <w:tblGrid>
        <w:gridCol w:w="6470"/>
        <w:gridCol w:w="2600"/>
      </w:tblGrid>
      <w:tr>
        <w:trPr>
          <w:tblHeader/>
        </w:trPr>
        <w:tc>
          <w:tcPr>
            <w:tcW w:type="dxa" w:w="647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Capability</w:t>
            </w:r>
          </w:p>
        </w:tc>
        <w:tc>
          <w:tcPr>
            <w:tcW w:type="dxa" w:w="2600"/>
            <w:shd w:fill="263E4F" w:val="clear"/>
            <w:tcMar>
              <w:top w:type="dxa" w:w="90"/>
              <w:left w:type="dxa" w:w="130"/>
              <w:bottom w:type="dxa" w:w="90"/>
              <w:right w:type="dxa" w:w="130"/>
            </w:tcMar>
          </w:tcPr>
          <w:p>
            <w:pPr>
              <w:jc w:val="left"/>
            </w:pPr>
            <w:r>
              <w:rPr>
                <w:rFonts w:ascii="Arial" w:cs="Arial" w:eastAsia="Arial" w:hAnsi="Arial"/>
                <w:b/>
                <w:bCs/>
                <w:color w:val="FFFFFF"/>
                <w:sz w:val="17"/>
                <w:szCs w:val="17"/>
              </w:rPr>
              <w:t xml:space="preserve">Status</w:t>
            </w:r>
          </w:p>
        </w:tc>
      </w:tr>
      <w:tr>
        <w:tc>
          <w:tcPr>
            <w:tcW w:type="dxa" w:w="647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Four role-separated web portals and a customer mobile app</w:t>
            </w:r>
          </w:p>
        </w:tc>
        <w:tc>
          <w:tcPr>
            <w:tcW w:type="dxa" w:w="26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Built</w:t>
            </w:r>
          </w:p>
        </w:tc>
      </w:tr>
      <w:tr>
        <w:tc>
          <w:tcPr>
            <w:tcW w:type="dxa" w:w="647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Agent enrolment with administrator approval</w:t>
            </w:r>
          </w:p>
        </w:tc>
        <w:tc>
          <w:tcPr>
            <w:tcW w:type="dxa" w:w="26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Built</w:t>
            </w:r>
          </w:p>
        </w:tc>
      </w:tr>
      <w:tr>
        <w:tc>
          <w:tcPr>
            <w:tcW w:type="dxa" w:w="647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Bank account linking through Mono</w:t>
            </w:r>
          </w:p>
        </w:tc>
        <w:tc>
          <w:tcPr>
            <w:tcW w:type="dxa" w:w="26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Built</w:t>
            </w:r>
          </w:p>
        </w:tc>
      </w:tr>
      <w:tr>
        <w:tc>
          <w:tcPr>
            <w:tcW w:type="dxa" w:w="647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Merchant onboarding with NIBSS account verification</w:t>
            </w:r>
          </w:p>
        </w:tc>
        <w:tc>
          <w:tcPr>
            <w:tcW w:type="dxa" w:w="26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Built</w:t>
            </w:r>
          </w:p>
        </w:tc>
      </w:tr>
      <w:tr>
        <w:tc>
          <w:tcPr>
            <w:tcW w:type="dxa" w:w="647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POS terminal fleet management and blacklisting</w:t>
            </w:r>
          </w:p>
        </w:tc>
        <w:tc>
          <w:tcPr>
            <w:tcW w:type="dxa" w:w="26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Built</w:t>
            </w:r>
          </w:p>
        </w:tc>
      </w:tr>
      <w:tr>
        <w:tc>
          <w:tcPr>
            <w:tcW w:type="dxa" w:w="647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KYC tiers, daily caps, configurable PIN threshold</w:t>
            </w:r>
          </w:p>
        </w:tc>
        <w:tc>
          <w:tcPr>
            <w:tcW w:type="dxa" w:w="26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Built</w:t>
            </w:r>
          </w:p>
        </w:tc>
      </w:tr>
      <w:tr>
        <w:tc>
          <w:tcPr>
            <w:tcW w:type="dxa" w:w="647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PIN set, verify, lockout</w:t>
            </w:r>
          </w:p>
        </w:tc>
        <w:tc>
          <w:tcPr>
            <w:tcW w:type="dxa" w:w="26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Built</w:t>
            </w:r>
          </w:p>
        </w:tc>
      </w:tr>
      <w:tr>
        <w:tc>
          <w:tcPr>
            <w:tcW w:type="dxa" w:w="647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Airtime, data, electricity, cable with auto-reversal</w:t>
            </w:r>
          </w:p>
        </w:tc>
        <w:tc>
          <w:tcPr>
            <w:tcW w:type="dxa" w:w="26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Built and working end to end</w:t>
            </w:r>
          </w:p>
        </w:tc>
      </w:tr>
      <w:tr>
        <w:tc>
          <w:tcPr>
            <w:tcW w:type="dxa" w:w="647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Two-tier support with live chat</w:t>
            </w:r>
          </w:p>
        </w:tc>
        <w:tc>
          <w:tcPr>
            <w:tcW w:type="dxa" w:w="26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Built</w:t>
            </w:r>
          </w:p>
        </w:tc>
      </w:tr>
      <w:tr>
        <w:tc>
          <w:tcPr>
            <w:tcW w:type="dxa" w:w="647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Transaction ledger, partitioned monthly</w:t>
            </w:r>
          </w:p>
        </w:tc>
        <w:tc>
          <w:tcPr>
            <w:tcW w:type="dxa" w:w="26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Built</w:t>
            </w:r>
          </w:p>
        </w:tc>
      </w:tr>
      <w:tr>
        <w:tc>
          <w:tcPr>
            <w:tcW w:type="dxa" w:w="647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Palm matching integration, failing closed</w:t>
            </w:r>
          </w:p>
        </w:tc>
        <w:tc>
          <w:tcPr>
            <w:tcW w:type="dxa" w:w="26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Built</w:t>
            </w:r>
          </w:p>
        </w:tc>
      </w:tr>
      <w:tr>
        <w:tc>
          <w:tcPr>
            <w:tcW w:type="dxa" w:w="647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The palm matching service itself</w:t>
            </w:r>
          </w:p>
        </w:tc>
        <w:tc>
          <w:tcPr>
            <w:tcW w:type="dxa" w:w="26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Not built</w:t>
            </w:r>
          </w:p>
        </w:tc>
      </w:tr>
      <w:tr>
        <w:tc>
          <w:tcPr>
            <w:tcW w:type="dxa" w:w="647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Execution of the bank debit and settlement</w:t>
            </w:r>
          </w:p>
        </w:tc>
        <w:tc>
          <w:tcPr>
            <w:tcW w:type="dxa" w:w="26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Not built</w:t>
            </w:r>
          </w:p>
        </w:tc>
      </w:tr>
      <w:tr>
        <w:tc>
          <w:tcPr>
            <w:tcW w:type="dxa" w:w="647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NIN verification against NIMC</w:t>
            </w:r>
          </w:p>
        </w:tc>
        <w:tc>
          <w:tcPr>
            <w:tcW w:type="dxa" w:w="26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Not built</w:t>
            </w:r>
          </w:p>
        </w:tc>
      </w:tr>
      <w:tr>
        <w:tc>
          <w:tcPr>
            <w:tcW w:type="dxa" w:w="647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Encryption of identity data at the application layer</w:t>
            </w:r>
          </w:p>
        </w:tc>
        <w:tc>
          <w:tcPr>
            <w:tcW w:type="dxa" w:w="26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Not built</w:t>
            </w:r>
          </w:p>
        </w:tc>
      </w:tr>
      <w:tr>
        <w:tc>
          <w:tcPr>
            <w:tcW w:type="dxa" w:w="6470"/>
            <w:shd w:fill="F7F9FA" w:val="clear"/>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Access audit logging</w:t>
            </w:r>
          </w:p>
        </w:tc>
        <w:tc>
          <w:tcPr>
            <w:tcW w:type="dxa" w:w="2600"/>
            <w:shd w:fill="F7F9FA" w:val="clear"/>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Not built</w:t>
            </w:r>
          </w:p>
        </w:tc>
      </w:tr>
      <w:tr>
        <w:tc>
          <w:tcPr>
            <w:tcW w:type="dxa" w:w="6470"/>
            <w:tcMar>
              <w:top w:type="dxa" w:w="90"/>
              <w:left w:type="dxa" w:w="130"/>
              <w:bottom w:type="dxa" w:w="90"/>
              <w:right w:type="dxa" w:w="130"/>
            </w:tcMar>
          </w:tcPr>
          <w:p>
            <w:pPr>
              <w:jc w:val="left"/>
            </w:pPr>
            <w:r>
              <w:rPr>
                <w:rFonts w:ascii="Georgia" w:cs="Georgia" w:eastAsia="Georgia" w:hAnsi="Georgia"/>
                <w:b w:val="false"/>
                <w:bCs w:val="false"/>
                <w:color w:val="232B31"/>
                <w:sz w:val="19"/>
                <w:szCs w:val="19"/>
              </w:rPr>
              <w:t xml:space="preserve">Tier 3 enhanced KYC</w:t>
            </w:r>
          </w:p>
        </w:tc>
        <w:tc>
          <w:tcPr>
            <w:tcW w:type="dxa" w:w="2600"/>
            <w:tcMar>
              <w:top w:type="dxa" w:w="90"/>
              <w:left w:type="dxa" w:w="130"/>
              <w:bottom w:type="dxa" w:w="90"/>
              <w:right w:type="dxa" w:w="130"/>
            </w:tcMar>
          </w:tcPr>
          <w:p>
            <w:pPr>
              <w:jc w:val="left"/>
            </w:pPr>
            <w:r>
              <w:rPr>
                <w:rFonts w:ascii="Arial" w:cs="Arial" w:eastAsia="Arial" w:hAnsi="Arial"/>
                <w:b w:val="false"/>
                <w:bCs w:val="false"/>
                <w:color w:val="232B31"/>
                <w:sz w:val="19"/>
                <w:szCs w:val="19"/>
              </w:rPr>
              <w:t xml:space="preserve">Specified, not live</w:t>
            </w:r>
          </w:p>
        </w:tc>
      </w:tr>
    </w:tbl>
    <w:p>
      <w:pPr>
        <w:pBdr>
          <w:bottom w:val="single" w:color="1C9E63" w:sz="6" w:space="6"/>
        </w:pBdr>
        <w:spacing w:after="200" w:before="420"/>
      </w:pPr>
      <w:r>
        <w:rPr>
          <w:rFonts w:ascii="Arial" w:cs="Arial" w:eastAsia="Arial" w:hAnsi="Arial"/>
          <w:b/>
          <w:bCs/>
          <w:color w:val="263E4F"/>
          <w:sz w:val="26"/>
          <w:szCs w:val="26"/>
        </w:rPr>
        <w:t xml:space="preserve">Open product decisions</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The fallback when a palm will not read.</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Who pays for terminals — MiliPay capital expenditure, merchant purchase, or bank subsidy. Each produces a different balance sheet and a different sales motion.</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Whether the ₦250 per month customer fee stands.</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Mono DirectPay or a licensed switch as the settlement rail.</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Dispute handling ownership and the service level attached to it.</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Re-enrolment and revocation: what happens when a customer wants their biometric removed, or their template has to be replaced.</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The agent vetting standard, given how much trust the role carries.</w:t>
      </w:r>
    </w:p>
    <w:p>
      <w:pPr>
        <w:pBdr>
          <w:bottom w:val="single" w:color="D8DDE1" w:sz="4" w:space="4"/>
        </w:pBdr>
        <w:spacing w:after="200" w:before="200"/>
      </w:pPr>
    </w:p>
    <w:p>
      <w:pPr>
        <w:spacing w:before="120"/>
      </w:pPr>
      <w:r>
        <w:rPr>
          <w:rFonts w:ascii="Georgia" w:cs="Georgia" w:eastAsia="Georgia" w:hAnsi="Georgia"/>
          <w:i/>
          <w:iCs/>
          <w:color w:val="6B7780"/>
          <w:sz w:val="17"/>
          <w:szCs w:val="17"/>
        </w:rPr>
        <w:t xml:space="preserve">Prepared as part of the MiliPay documentation programme, 20 September 2026. Capability status reflects a direct read of the repository at that date, not the roadmap.</w:t>
      </w:r>
    </w:p>
    <w:sectPr>
      <w:headerReference w:type="default" r:id="rId7"/>
      <w:headerReference w:type="first" r:id="rId8"/>
      <w:footerReference w:type="default" r:id="rId9"/>
      <w:footerReference w:type="first" r:id="rId10"/>
      <w:pgSz w:w="11906" w:h="16838" w:orient="portrait"/>
      <w:pgMar w:top="1985" w:right="1418" w:bottom="1418" w:left="1418" w:header="680"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DE1" w:sz="4" w:space="8"/>
      </w:pBdr>
      <w:spacing w:before="60"/>
    </w:pPr>
    <w:r>
      <w:rPr>
        <w:rFonts w:ascii="Arial" w:cs="Arial" w:eastAsia="Arial" w:hAnsi="Arial"/>
        <w:color w:val="6B7780"/>
        <w:sz w:val="15"/>
        <w:szCs w:val="15"/>
      </w:rPr>
      <w:t xml:space="preserve">MiliPay — Confidential</w:t>
    </w:r>
    <w:r>
      <w:rPr>
        <w:rFonts w:ascii="Arial" w:cs="Arial" w:eastAsia="Arial" w:hAnsi="Arial"/>
        <w:color w:val="6B7780"/>
        <w:sz w:val="15"/>
        <w:szCs w:val="15"/>
      </w:rPr>
      <w:ptab w:alignment="right" w:relativeTo="margin" w:leader="none"/>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DE1" w:sz="4" w:space="8"/>
      </w:pBdr>
      <w:spacing w:after="80"/>
    </w:pPr>
    <w:r>
      <w:drawing>
        <wp:inline distT="0" distB="0" distL="0" distR="0">
          <wp:extent cx="13716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71600" cy="314325"/>
                  </a:xfrm>
                  <a:prstGeom prst="rect">
                    <a:avLst/>
                  </a:prstGeom>
                </pic:spPr>
              </pic:pic>
            </a:graphicData>
          </a:graphic>
        </wp:inline>
      </w:drawing>
    </w:r>
    <w:r>
      <w:drawing>
        <wp:anchor distT="0" distB="0" distL="0" distR="0" simplePos="0" allowOverlap="1" behindDoc="1" locked="0" layoutInCell="1" relativeHeight="1190625">
          <wp:simplePos x="0" y="0"/>
          <wp:positionH relativeFrom="page">
            <wp:align>center</wp:align>
          </wp:positionH>
          <wp:positionV relativeFrom="page">
            <wp:align>center</wp:align>
          </wp:positionV>
          <wp:extent cx="5219700" cy="11906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219700" cy="119062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3e0989ba344b83a3cd5ada373155c6ac4430dc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3e0989ba344b83a3cd5ada373155c6ac4430dcd.png"/><Relationship Id="rId1" Type="http://schemas.openxmlformats.org/officeDocument/2006/relationships/image" Target="media/bf5121a7b7116315fc971d9aae4a8f9d37f8e4b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MiliPay — Product Specification</dc:title>
  <dc:creator>MiliPay</dc:creator>
  <dc:description>PRD-001 · Version 2.0 · Confidential</dc:description>
  <cp:lastModifiedBy>Un-named</cp:lastModifiedBy>
  <cp:revision>1</cp:revision>
  <dcterms:created xsi:type="dcterms:W3CDTF">2026-09-20T12:05:32.154Z</dcterms:created>
  <dcterms:modified xsi:type="dcterms:W3CDTF">2026-09-20T12:05:32.154Z</dcterms:modified>
</cp:coreProperties>
</file>

<file path=docProps/custom.xml><?xml version="1.0" encoding="utf-8"?>
<Properties xmlns="http://schemas.openxmlformats.org/officeDocument/2006/custom-properties" xmlns:vt="http://schemas.openxmlformats.org/officeDocument/2006/docPropsVTypes"/>
</file>