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Instructions for reading presented documents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Documents named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Every task and every mechanism in one chatGPT4 cha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presents raw data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that are copied from chatGPT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. These are the tasks that have been asked chatGPT4 and the answers of chatGPT4,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more specifically chatGPT4 prompts and solutions of the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1f1f1f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They are adjusted to make it easier to read them. Prompts are bolded so it differ from chatGPT4 answer.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Tasks are prompted in one chatGPT4 chat only. Every task individually.</w:t>
        <w:br w:type="textWrapping"/>
        <w:t xml:space="preserve">In the document, prompts are always following the order of zero shot, few shot and chain-of-though (3 mechanisms).</w:t>
        <w:br w:type="textWrapping"/>
        <w:t xml:space="preserve">There are ten documents since there were ten tasks.</w:t>
        <w:br w:type="textWrapping"/>
        <w:t xml:space="preserve">There is one more document named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Every task and every mechanism in one chatGPT4 chat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1f1f1f"/>
          <w:highlight w:val="white"/>
          <w:rtl w:val="0"/>
        </w:rPr>
        <w:t xml:space="preserve"> - all prompts together 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t xml:space="preserve">which was made for easier analysis in MAXQDA software. In this document, all tasks are presented from the first to the tenth. There is also a name of the prompt above the prompt so it’s more convenient to follow it.</w:t>
      </w:r>
      <w:r w:rsidDel="00000000" w:rsidR="00000000" w:rsidRPr="00000000">
        <w:rPr>
          <w:rFonts w:ascii="Calibri" w:cs="Calibri" w:eastAsia="Calibri" w:hAnsi="Calibri"/>
          <w:color w:val="1f1f1f"/>
          <w:highlight w:val="whit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color w:val="1f1f1f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Instructions for understanding presented data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Data are a few presented data types in this folder.</w:t>
        <w:br w:type="textWrapping"/>
        <w:t xml:space="preserve">There is raw data, downloaded from MAXQDA software and Excel sheets with presented, important data for this master thesis.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color w:val="1f1f1f"/>
          <w:sz w:val="21"/>
          <w:szCs w:val="21"/>
          <w:highlight w:val="white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