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B157C6" w14:textId="77777777" w:rsidR="006F17B3" w:rsidRDefault="00000000">
      <w:pPr>
        <w:pStyle w:val="Title"/>
      </w:pPr>
      <w:r>
        <w:rPr>
          <w:color w:val="000000"/>
        </w:rPr>
        <w:t>Team Lab 5 Promethean Classification</w:t>
      </w:r>
    </w:p>
    <w:p w14:paraId="24813D9E" w14:textId="1867C05F" w:rsidR="006F17B3" w:rsidRDefault="00000000">
      <w:r>
        <w:t>Team Agent Record and Final Synthesis</w:t>
        <w:br/>
        <w:t>Milk Almonds | MASY1 GC 1800 Emerging Technologies</w:t>
        <w:br/>
        <w:t>October 21 2026 | Final version 0.1.3-team</w:t>
      </w:r>
    </w:p>
    <w:p w14:paraId="0D25A574" w14:textId="77777777" w:rsidR="006F17B3" w:rsidRDefault="00000000">
      <w:pPr>
        <w:pStyle w:val="Heading1"/>
      </w:pPr>
      <w:r>
        <w:rPr>
          <w:color w:val="000000"/>
        </w:rPr>
        <w:t>Team decision</w:t>
      </w:r>
    </w:p>
    <w:p w14:paraId="7848F874" w14:textId="041EDA55" w:rsidR="006F17B3" w:rsidRDefault="00000000">
      <w:r>
        <w:t>We approve the Team Promethean Classification Agent, version 0.1.3-team. For the fixed LLM evidence dossier, our working classification is Provisional Breakthrough, with moderate qualitative confidence under the course framework. Potential Promethean remains a conditional long-range hypothesis; confidence in specific 10–20-year societal forecasts is low.</w:t>
      </w:r>
    </w:p>
    <w:p w14:paraId="22706584" w14:textId="77777777" w:rsidR="006F17B3" w:rsidRDefault="00000000">
      <w:r>
        <w:t>The team confirms unanimous agreement on the final version. We compared the five candidate repositories, retained their strongest methods and competing interpretations, and completed five observed regression cases. The final agent, Team Agent Record, exact inputs, original replies and verification records are preserved in the team repository.</w:t>
      </w:r>
    </w:p>
    <w:p w14:paraId="4CF337AB" w14:textId="77777777" w:rsidR="006F17B3" w:rsidRDefault="00000000">
      <w:pPr>
        <w:pStyle w:val="Heading1"/>
      </w:pPr>
      <w:r>
        <w:rPr>
          <w:color w:val="000000"/>
        </w:rPr>
        <w:t>Three levels of judgment</w:t>
      </w:r>
    </w:p>
    <w:p w14:paraId="29AB763C" w14:textId="77777777" w:rsidR="006F17B3" w:rsidRDefault="00000000">
      <w:r>
        <w:t>Technology generally: the dossier supports bounded language assistance, while durable barrier dissolution across societal tiers remains unestablished. Application: human-approved retail reply drafting offers a testable improvement, with no measured local benefit yet. Organization: a bounded pilot depends on quality, privacy and readiness gates; conservative adoption begins with offline evaluation.</w:t>
      </w:r>
    </w:p>
    <w:p w14:paraId="31E3B0D7" w14:textId="77777777" w:rsidR="006F17B3" w:rsidRDefault="00000000">
      <w:pPr>
        <w:pStyle w:val="Heading1"/>
      </w:pPr>
      <w:r>
        <w:rPr>
          <w:color w:val="000000"/>
        </w:rPr>
        <w:t>Rule for the final system</w:t>
      </w:r>
    </w:p>
    <w:p w14:paraId="0704082B" w14:textId="77777777" w:rsidR="006F17B3" w:rsidRDefault="00000000">
      <w:r>
        <w:t>Long-term technological importance may justify monitoring and learning. It cannot by itself justify immediate adoption, spending, safety clearance or autonomous consequential action.</w:t>
      </w:r>
    </w:p>
    <w:p w14:paraId="40BA07DA" w14:textId="77777777" w:rsidR="006F17B3" w:rsidRDefault="00000000">
      <w:pPr>
        <w:pStyle w:val="Heading1"/>
      </w:pPr>
      <w:r>
        <w:rPr>
          <w:color w:val="000000"/>
        </w:rPr>
        <w:t>Strongest competing view</w:t>
      </w:r>
    </w:p>
    <w:p w14:paraId="3BCC12CF" w14:textId="33DD823B" w:rsidR="006F17B3" w:rsidRDefault="00000000">
      <w:r>
        <w:t>The higher-label candidates argue that flexible cognitive production could transform multiple societal tiers before historical irreversibility becomes observable. Meilin’s and Yulia’s candidates withhold that label because the inspected evidence demonstrates constraint reduction rather than dissolution. We preserve the stronger prospective hypothesis without treating it as the established category. A skeptical reviewer may consider the dossier too narrow to support a stronger label.</w:t>
      </w:r>
    </w:p>
    <w:p w14:paraId="1EFA5629" w14:textId="77777777" w:rsidR="006F17B3" w:rsidRDefault="00000000">
      <w:r>
        <w:br w:type="page"/>
      </w:r>
    </w:p>
    <w:p w14:paraId="04C816E6" w14:textId="77777777" w:rsidR="006F17B3" w:rsidRDefault="00000000">
      <w:pPr>
        <w:pStyle w:val="Title"/>
      </w:pPr>
      <w:r>
        <w:rPr>
          <w:color w:val="000000"/>
        </w:rPr>
        <w:lastRenderedPageBreak/>
        <w:t>Comparison of the five candidates</w:t>
      </w:r>
    </w:p>
    <w:p w14:paraId="0B232B48" w14:textId="77777777" w:rsidR="006F17B3" w:rsidRDefault="00000000">
      <w:pPr>
        <w:pStyle w:val="Heading1"/>
      </w:pPr>
      <w:r>
        <w:rPr>
          <w:color w:val="000000"/>
        </w:rPr>
        <w:t>Meilin Pan</w:t>
      </w:r>
    </w:p>
    <w:p w14:paraId="5F4025B2" w14:textId="77777777" w:rsidR="006F17B3" w:rsidRDefault="00000000">
      <w:r>
        <w:t>Provisional Breakthrough for deployed LLM assistants. Retain explicit barrier and suppression reasoning and the strongest contrary interpretation. Saved v2 contexts vary evidence and one label; they do not prove fixed-evidence stability.</w:t>
      </w:r>
    </w:p>
    <w:p w14:paraId="3AF314E0" w14:textId="77777777" w:rsidR="006F17B3" w:rsidRDefault="00000000">
      <w:pPr>
        <w:pStyle w:val="Heading1"/>
      </w:pPr>
      <w:r>
        <w:rPr>
          <w:color w:val="000000"/>
        </w:rPr>
        <w:t>Yulia Anisimova</w:t>
      </w:r>
    </w:p>
    <w:p w14:paraId="1A74AED8" w14:textId="3A0AC21A" w:rsidR="006F17B3" w:rsidRDefault="00000000">
      <w:r>
        <w:t xml:space="preserve">Provisional Breakthrough for deployed LLM assistants, with Potential Promethean unresolved, applied to reviewed internal summary drafting at a small consulting firm. Retain explicit transferability limits: support-study gains are not assumed to carry over to consulting, and local baselines (fidelity, caveat retention, correction effort, net time) decide any pilot. Contrasts cover a conservative posture, unvalidated autonomous hospital advice, hype pressure and insufficient evidence. The preserved overclaim is labeled as constructed, not a historical failed model run. </w:t>
      </w:r>
    </w:p>
    <w:p w14:paraId="0964434D" w14:textId="77777777" w:rsidR="006F17B3" w:rsidRDefault="00000000">
      <w:pPr>
        <w:pStyle w:val="Heading1"/>
      </w:pPr>
      <w:r>
        <w:rPr>
          <w:color w:val="000000"/>
        </w:rPr>
        <w:t>Alexandra Chsherbinina</w:t>
      </w:r>
    </w:p>
    <w:p w14:paraId="6676A89A" w14:textId="77777777" w:rsidR="006F17B3" w:rsidRDefault="00000000">
      <w:r>
        <w:t>Provisional potentially Promethean with hospital and marketing contrasts. Retain context separation, calibrated confidence and anti-hype behavior. The generic criteria need explicit course gates. The preserved overclaim is labeled as constructed, not a historical failed model run.</w:t>
      </w:r>
    </w:p>
    <w:p w14:paraId="712F0EA8" w14:textId="77777777" w:rsidR="006F17B3" w:rsidRDefault="00000000">
      <w:pPr>
        <w:pStyle w:val="Heading1"/>
      </w:pPr>
      <w:r>
        <w:rPr>
          <w:color w:val="000000"/>
        </w:rPr>
        <w:t>Shuoying Wang</w:t>
      </w:r>
    </w:p>
    <w:p w14:paraId="355246C2" w14:textId="77777777" w:rsidR="006F17B3" w:rsidRDefault="00000000">
      <w:r>
        <w:t>Engineered quantum entanglement v0.4, with bank and university cases. Retain evidence-stage and citation identity gates. Quantum results do not adjudicate LLM significance, and two domains do not automatically establish two societal tiers.</w:t>
      </w:r>
    </w:p>
    <w:p w14:paraId="30714064" w14:textId="7DBE05C3" w:rsidR="006F17B3" w:rsidRDefault="00B975A1">
      <w:pPr>
        <w:pStyle w:val="Heading1"/>
      </w:pPr>
      <w:r>
        <w:rPr>
          <w:color w:val="000000"/>
        </w:rPr>
        <w:t>Harry</w:t>
      </w:r>
      <w:r w:rsidR="00000000">
        <w:rPr>
          <w:color w:val="000000"/>
        </w:rPr>
        <w:t xml:space="preserve"> Ma</w:t>
      </w:r>
    </w:p>
    <w:p w14:paraId="03C013D9" w14:textId="77777777" w:rsidR="006F17B3" w:rsidRDefault="00000000">
      <w:r>
        <w:t>Qualified prospective Potential Promethean. Use the explicit course-gate structure, six criteria, posture-only contrast and abstention case. Preserve its actual earlier output that omitted the full framework. Saved examples are not independent reliability trials.</w:t>
      </w:r>
    </w:p>
    <w:p w14:paraId="7AC6254C" w14:textId="77777777" w:rsidR="006F17B3" w:rsidRDefault="00000000">
      <w:r>
        <w:t>Method: all five candidates were reviewed against the same assignment requirements. Their original evidence and contexts differed, so this comparison identifies design contributions rather than ranking reliability. We then used a shared dossier for the team contrasts. Exact source commits and paths remain in the repository register.</w:t>
      </w:r>
    </w:p>
    <w:p w14:paraId="1E91E107" w14:textId="77777777" w:rsidR="006F17B3" w:rsidRDefault="00000000">
      <w:r>
        <w:br w:type="page"/>
      </w:r>
    </w:p>
    <w:p w14:paraId="5D728C27" w14:textId="77777777" w:rsidR="006F17B3" w:rsidRDefault="00000000">
      <w:pPr>
        <w:pStyle w:val="Title"/>
      </w:pPr>
      <w:r>
        <w:rPr>
          <w:color w:val="000000"/>
        </w:rPr>
        <w:lastRenderedPageBreak/>
        <w:t>Criteria and qualification rules</w:t>
      </w:r>
    </w:p>
    <w:p w14:paraId="0E77A05E" w14:textId="77777777" w:rsidR="006F17B3" w:rsidRDefault="00000000">
      <w:pPr>
        <w:pStyle w:val="Heading1"/>
      </w:pPr>
      <w:r>
        <w:rPr>
          <w:color w:val="000000"/>
        </w:rPr>
        <w:t>Ordered decision gates</w:t>
      </w:r>
    </w:p>
    <w:p w14:paraId="1E4FF4B7" w14:textId="77777777" w:rsidR="006F17B3" w:rsidRDefault="00000000">
      <w:r>
        <w:t>Incremental improves existing work within its defining assumptions. Breakthrough introduces a meaningful capability or reduces a fundamental constraint. Potential Promethean is a qualified hypothesis of durable dissolution across societal tiers. First establish evidence sufficiency. Then define the usable system, comparator, evidence date and horizon; identify the activity-defining barrier; distinguish reduction from dissolution using a suppression test; and assess affected societal tiers. Durable dissolution across at least two tiers is required for a higher hypothesis. Declare prospective or retrospective mode. Emerging cases cannot establish historical irreversibility by prediction.</w:t>
      </w:r>
    </w:p>
    <w:p w14:paraId="7C6BDDA7" w14:textId="77777777" w:rsidR="006F17B3" w:rsidRDefault="00000000">
      <w:pPr>
        <w:pStyle w:val="Heading1"/>
      </w:pPr>
      <w:r>
        <w:rPr>
          <w:color w:val="000000"/>
        </w:rPr>
        <w:t>Order of magnitude</w:t>
      </w:r>
    </w:p>
    <w:p w14:paraId="51235351" w14:textId="77777777" w:rsidR="006F17B3" w:rsidRDefault="00000000">
      <w:r>
        <w:t>Specify the dimension, comparator and evidence for roughly tenfold change.</w:t>
      </w:r>
    </w:p>
    <w:p w14:paraId="534029CF" w14:textId="77777777" w:rsidR="006F17B3" w:rsidRDefault="00000000">
      <w:pPr>
        <w:pStyle w:val="Heading1"/>
      </w:pPr>
      <w:r>
        <w:rPr>
          <w:color w:val="000000"/>
        </w:rPr>
        <w:t>Widespread impact</w:t>
      </w:r>
    </w:p>
    <w:p w14:paraId="5F90CCCE" w14:textId="77777777" w:rsidR="006F17B3" w:rsidRDefault="00000000">
      <w:r>
        <w:t>Distinguish multi-tier structural impact from use in several sectors.</w:t>
      </w:r>
    </w:p>
    <w:p w14:paraId="510DD62C" w14:textId="77777777" w:rsidR="006F17B3" w:rsidRDefault="00000000">
      <w:pPr>
        <w:pStyle w:val="Heading1"/>
      </w:pPr>
      <w:r>
        <w:rPr>
          <w:color w:val="000000"/>
        </w:rPr>
        <w:t>Paradigm shift</w:t>
      </w:r>
    </w:p>
    <w:p w14:paraId="1ADE3FF0" w14:textId="77777777" w:rsidR="006F17B3" w:rsidRDefault="00000000">
      <w:r>
        <w:t>Identify an altered defining assumption, beyond faster existing work.</w:t>
      </w:r>
    </w:p>
    <w:p w14:paraId="5B478785" w14:textId="77777777" w:rsidR="006F17B3" w:rsidRDefault="00000000">
      <w:pPr>
        <w:pStyle w:val="Heading1"/>
      </w:pPr>
      <w:r>
        <w:rPr>
          <w:color w:val="000000"/>
        </w:rPr>
        <w:t>Catalytic effect</w:t>
      </w:r>
    </w:p>
    <w:p w14:paraId="6226CF08" w14:textId="77777777" w:rsidR="006F17B3" w:rsidRDefault="00000000">
      <w:r>
        <w:t>Identify further innovations that depend on the capability.</w:t>
      </w:r>
    </w:p>
    <w:p w14:paraId="05E15E52" w14:textId="77777777" w:rsidR="006F17B3" w:rsidRDefault="00000000">
      <w:pPr>
        <w:pStyle w:val="Heading1"/>
      </w:pPr>
      <w:r>
        <w:rPr>
          <w:color w:val="000000"/>
        </w:rPr>
        <w:t>Democratizing effect</w:t>
      </w:r>
    </w:p>
    <w:p w14:paraId="31EC1F4B" w14:textId="77777777" w:rsidR="006F17B3" w:rsidRDefault="00000000">
      <w:r>
        <w:t>Assess who gains access and who remains constrained.</w:t>
      </w:r>
    </w:p>
    <w:p w14:paraId="4A79603B" w14:textId="77777777" w:rsidR="006F17B3" w:rsidRDefault="00000000">
      <w:pPr>
        <w:pStyle w:val="Heading1"/>
      </w:pPr>
      <w:r>
        <w:rPr>
          <w:color w:val="000000"/>
        </w:rPr>
        <w:t>Irreversibility</w:t>
      </w:r>
    </w:p>
    <w:p w14:paraId="2D6D8510" w14:textId="77777777" w:rsidR="006F17B3" w:rsidRDefault="00000000">
      <w:r>
        <w:t>Look for mature dependence rather than inconvenience after removal.</w:t>
      </w:r>
    </w:p>
    <w:p w14:paraId="5D96712E" w14:textId="77777777" w:rsidR="006F17B3" w:rsidRDefault="00000000">
      <w:r>
        <w:t>Grade each criterion Supported, Provisional, Not established or Contradicted. These are implementation choices, not a summed course score. Require the strongest case for and against a higher classification; never average away an unmet gate. In the fixed dossier, order of magnitude and irreversibility are Not established; the other four grades are Provisional conditional hypotheses, not verified transformations.</w:t>
      </w:r>
    </w:p>
    <w:p w14:paraId="6F80DEA7" w14:textId="77777777" w:rsidR="006F17B3" w:rsidRDefault="00000000">
      <w:r>
        <w:t>Abstain if the system, credible capability evidence or a defensible comparator is absent. Missing evidence must not default to Incremental. If labels cannot be distinguished responsibly, qualify the conclusion and identify the evidence needed. A disclosed common-dossier calibration keeps general findings stable across context changes. Its grades do not independently validate the classification.</w:t>
      </w:r>
    </w:p>
    <w:p w14:paraId="3DEAB0EB" w14:textId="77777777" w:rsidR="006F17B3" w:rsidRDefault="00000000">
      <w:r>
        <w:br w:type="page"/>
      </w:r>
    </w:p>
    <w:p w14:paraId="6F91F1C6" w14:textId="77777777" w:rsidR="006F17B3" w:rsidRDefault="00000000">
      <w:pPr>
        <w:pStyle w:val="Title"/>
      </w:pPr>
      <w:r>
        <w:rPr>
          <w:color w:val="000000"/>
        </w:rPr>
        <w:t>Observed tests and preserved failures</w:t>
      </w:r>
    </w:p>
    <w:p w14:paraId="4CF520EE" w14:textId="77777777" w:rsidR="006F17B3" w:rsidRDefault="00000000">
      <w:pPr>
        <w:pStyle w:val="Heading1"/>
      </w:pPr>
      <w:r>
        <w:rPr>
          <w:color w:val="000000"/>
        </w:rPr>
        <w:t>Common case and contrasts</w:t>
      </w:r>
    </w:p>
    <w:p w14:paraId="72FD28CB" w14:textId="77777777" w:rsidR="006F17B3" w:rsidRDefault="00000000">
      <w:r>
        <w:t>The common dossier contains a customer-support research abstract and an official NIST governance abstract. We held that dossier fixed across the primary retail case, a conservative-posture contrast, an autonomous clinical-application contrast and a hype prompt. The fifth case substitutes undefined technology and vendor claims to test abstention. All organizational facts are hypothetical.</w:t>
      </w:r>
    </w:p>
    <w:p w14:paraId="7512E7E2" w14:textId="77777777" w:rsidR="006F17B3" w:rsidRDefault="00000000">
      <w:pPr>
        <w:pStyle w:val="Heading1"/>
      </w:pPr>
      <w:r>
        <w:rPr>
          <w:color w:val="000000"/>
        </w:rPr>
        <w:t>Final verification results</w:t>
      </w:r>
    </w:p>
    <w:tbl>
      <w:tblPr>
        <w:tblW w:type="auto" w:w="0"/>
        <w:jc w:val="center"/>
        <w:tblLayout w:type="fixed"/>
        <w:tblLook w:firstColumn="1" w:firstRow="1" w:lastColumn="0" w:lastRow="0" w:noHBand="0" w:noVBand="1" w:val="04A0"/>
      </w:tblPr>
      <w:tblGrid>
        <w:gridCol w:w="1944"/>
        <w:gridCol w:w="1440"/>
        <w:gridCol w:w="6696"/>
      </w:tblGrid>
      <w:tr>
        <w:trPr>
          <w:cantSplit/>
          <w:tblHeader/>
        </w:trPr>
        <w:tc>
          <w:tcPr>
            <w:tcW w:type="dxa" w:w="331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0" w:line="252" w:lineRule="auto"/>
            </w:pPr>
            <w:r>
              <w:rPr>
                <w:b/>
                <w:sz w:val="20"/>
              </w:rPr>
              <w:t>Case</w:t>
            </w:r>
          </w:p>
        </w:tc>
        <w:tc>
          <w:tcPr>
            <w:tcW w:type="dxa" w:w="331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0" w:line="252" w:lineRule="auto"/>
              <w:jc w:val="center"/>
            </w:pPr>
            <w:r>
              <w:rPr>
                <w:b/>
                <w:sz w:val="20"/>
              </w:rPr>
              <w:t>Schema</w:t>
            </w:r>
          </w:p>
        </w:tc>
        <w:tc>
          <w:tcPr>
            <w:tcW w:type="dxa" w:w="331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F1"/>
          </w:tcPr>
          <w:p>
            <w:pPr>
              <w:spacing w:after="0" w:line="252" w:lineRule="auto"/>
            </w:pPr>
            <w:r>
              <w:rPr>
                <w:b/>
                <w:sz w:val="20"/>
              </w:rPr>
              <w:t>Observed decision</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52" w:lineRule="auto"/>
            </w:pPr>
            <w:r>
              <w:rPr>
                <w:b w:val="0"/>
                <w:sz w:val="20"/>
              </w:rPr>
              <w:t>Primary</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52" w:lineRule="auto"/>
              <w:jc w:val="center"/>
            </w:pPr>
            <w:r>
              <w:rPr>
                <w:b w:val="0"/>
                <w:sz w:val="20"/>
              </w:rPr>
              <w:t>Pass</w:t>
            </w:r>
          </w:p>
        </w:tc>
        <w:tc>
          <w:tcPr>
            <w:tcW w:type="dxa" w:w="66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52" w:lineRule="auto"/>
            </w:pPr>
            <w:r>
              <w:rPr>
                <w:b w:val="0"/>
                <w:sz w:val="20"/>
              </w:rPr>
              <w:t>Qualified breakthrough; bounded reviewed pilot after gates.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52" w:lineRule="auto"/>
            </w:pPr>
            <w:r>
              <w:rPr>
                <w:b w:val="0"/>
                <w:sz w:val="20"/>
              </w:rPr>
              <w:t>Conservative posture</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52" w:lineRule="auto"/>
              <w:jc w:val="center"/>
            </w:pPr>
            <w:r>
              <w:rPr>
                <w:b w:val="0"/>
                <w:sz w:val="20"/>
              </w:rPr>
              <w:t>Pass</w:t>
            </w:r>
          </w:p>
        </w:tc>
        <w:tc>
          <w:tcPr>
            <w:tcW w:type="dxa" w:w="66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52" w:lineRule="auto"/>
            </w:pPr>
            <w:r>
              <w:rPr>
                <w:b w:val="0"/>
                <w:sz w:val="20"/>
              </w:rPr>
              <w:t>Same general finding; offline evaluation first.</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52" w:lineRule="auto"/>
            </w:pPr>
            <w:r>
              <w:rPr>
                <w:b w:val="0"/>
                <w:sz w:val="20"/>
              </w:rPr>
              <w:t>Clinical application</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52" w:lineRule="auto"/>
              <w:jc w:val="center"/>
            </w:pPr>
            <w:r>
              <w:rPr>
                <w:b w:val="0"/>
                <w:sz w:val="20"/>
              </w:rPr>
              <w:t>Pass</w:t>
            </w:r>
          </w:p>
        </w:tc>
        <w:tc>
          <w:tcPr>
            <w:tcW w:type="dxa" w:w="66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52" w:lineRule="auto"/>
            </w:pPr>
            <w:r>
              <w:rPr>
                <w:b w:val="0"/>
                <w:sz w:val="20"/>
              </w:rPr>
              <w:t>Same general finding; autonomous sending deferred.</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52" w:lineRule="auto"/>
            </w:pPr>
            <w:r>
              <w:rPr>
                <w:b w:val="0"/>
                <w:sz w:val="20"/>
              </w:rPr>
              <w:t>Hype pressure</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52" w:lineRule="auto"/>
              <w:jc w:val="center"/>
            </w:pPr>
            <w:r>
              <w:rPr>
                <w:b w:val="0"/>
                <w:sz w:val="20"/>
              </w:rPr>
              <w:t>Pass</w:t>
            </w:r>
          </w:p>
        </w:tc>
        <w:tc>
          <w:tcPr>
            <w:tcW w:type="dxa" w:w="66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52" w:lineRule="auto"/>
            </w:pPr>
            <w:r>
              <w:rPr>
                <w:b w:val="0"/>
                <w:sz w:val="20"/>
              </w:rPr>
              <w:t>No category promotion or immediate rollout.</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52" w:lineRule="auto"/>
            </w:pPr>
            <w:r>
              <w:rPr>
                <w:b w:val="0"/>
                <w:sz w:val="20"/>
              </w:rPr>
              <w:t>Insufficient evidence</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52" w:lineRule="auto"/>
              <w:jc w:val="center"/>
            </w:pPr>
            <w:r>
              <w:rPr>
                <w:b w:val="0"/>
                <w:sz w:val="20"/>
              </w:rPr>
              <w:t>Pass</w:t>
            </w:r>
          </w:p>
        </w:tc>
        <w:tc>
          <w:tcPr>
            <w:tcW w:type="dxa" w:w="669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52" w:lineRule="auto"/>
            </w:pPr>
            <w:r>
              <w:rPr>
                <w:b w:val="0"/>
                <w:sz w:val="20"/>
              </w:rPr>
              <w:t>Abstain; no Incremental fallback.</w:t>
            </w:r>
          </w:p>
        </w:tc>
      </w:tr>
    </w:tbl>
    <w:p w14:paraId="26D4E559" w14:textId="77777777" w:rsidR="006F17B3" w:rsidRDefault="00000000">
      <w:pPr>
        <w:spacing w:before="120"/>
      </w:pPr>
      <w:r>
        <w:t>All five completed 0.1.3 replies pass strict JSON validation. Input identity, frozen-core integrity and required assessment anchors also pass; reasoning was reviewed separately. Across the four defined-technology cases, the general category, scope, baseline, six grade labels, confidence interpretation and evidence cutoff remain semantically stable. The shared evidence cutoff is October 20 2026; test execution occurred October 21.</w:t>
      </w:r>
    </w:p>
    <w:p w14:paraId="506F46A5" w14:textId="77777777" w:rsidR="006F17B3" w:rsidRDefault="00000000">
      <w:pPr>
        <w:pStyle w:val="Heading1"/>
      </w:pPr>
      <w:r>
        <w:rPr>
          <w:color w:val="000000"/>
        </w:rPr>
        <w:t>Failure and revision</w:t>
      </w:r>
    </w:p>
    <w:p w14:paraId="57F61470" w14:textId="103DF43D" w:rsidR="006F17B3" w:rsidRDefault="00B975A1">
      <w:r>
        <w:t>The completed 0.1.2 retest passed structure in five cases but exposed a real context failure: the clinical response changed the catalytic-effect grade and advanced the evidence cutoff by one day. Version 0.1.3 discloses a common analytical ledger for this exact dossier and separates evidence date from execution date. The revision was committed before retesting. Original failures remain unchanged.</w:t>
      </w:r>
    </w:p>
    <w:p w14:paraId="167AE721" w14:textId="77777777" w:rsidR="006F17B3" w:rsidRDefault="00000000">
      <w:r>
        <w:t>Earlier missing-framework and citation-identity failures from the source candidates also remain preserved. Unavailable execution attempts and separately completed replacements are recorded independently; inaccessible replies were not reconstructed. Platform, session and retrieval details are retained in run metadata.</w:t>
      </w:r>
    </w:p>
    <w:p w14:paraId="040199AF" w14:textId="77777777" w:rsidR="006F17B3" w:rsidRDefault="00000000">
      <w:pPr>
        <w:pStyle w:val="Heading1"/>
      </w:pPr>
      <w:r>
        <w:rPr>
          <w:color w:val="000000"/>
        </w:rPr>
        <w:t>Limitations</w:t>
      </w:r>
    </w:p>
    <w:p w14:paraId="4C7186FF" w14:textId="4FCA0B84" w:rsidR="006F17B3" w:rsidRDefault="00000000">
      <w:r>
        <w:t>These tests establish consistent rule execution on five calibrated cases, not blind classification performance, repeated-run reliability or production readiness. The dossier is small and historically bounded; local performance and cost remain unmeasured. The common ledger supplies a calibration rather than new empirical support. Full study methods and exact alignment with the original course chapter have not been independently reviewed.</w:t>
      </w:r>
    </w:p>
    <w:p w14:paraId="3A54B5DC" w14:textId="77777777" w:rsidR="006F17B3" w:rsidRDefault="00000000">
      <w:r>
        <w:br w:type="page"/>
      </w:r>
    </w:p>
    <w:p w14:paraId="5ED18EDD" w14:textId="77777777" w:rsidR="006F17B3" w:rsidRDefault="00000000">
      <w:pPr>
        <w:pStyle w:val="Title"/>
      </w:pPr>
      <w:r>
        <w:rPr>
          <w:color w:val="000000"/>
        </w:rPr>
        <w:lastRenderedPageBreak/>
        <w:t>Ownership and final system handoff</w:t>
      </w:r>
    </w:p>
    <w:p w14:paraId="28629B3D" w14:textId="77777777" w:rsidR="006F17B3" w:rsidRDefault="00000000">
      <w:pPr>
        <w:pStyle w:val="Heading1"/>
      </w:pPr>
      <w:r>
        <w:rPr>
          <w:color w:val="000000"/>
        </w:rPr>
        <w:t>Contribution lineage</w:t>
      </w:r>
    </w:p>
    <w:p w14:paraId="69EA3CAA" w14:textId="54FD7EEC" w:rsidR="006F17B3" w:rsidRDefault="00000000">
      <w:r>
        <w:t xml:space="preserve">Meilin contributes barrier reasoning and dissent; Alexandra contributes context and hype safeguards; Shuoying contributes evidence-stage and citation checks; </w:t>
      </w:r>
      <w:r w:rsidR="00B975A1">
        <w:t>Harry</w:t>
      </w:r>
      <w:r>
        <w:t xml:space="preserve"> contributes the explicit course instrument and scaffold base; Yulia contributes the consulting application, domain-transfer limits and local-baseline requirement, and supplied the task sources and destination. These are source contributions, not claims about workshop attendance or roles.</w:t>
      </w:r>
    </w:p>
    <w:p w14:paraId="5A2626DD" w14:textId="77777777" w:rsidR="006F17B3" w:rsidRDefault="00000000">
      <w:pPr>
        <w:pStyle w:val="Heading1"/>
      </w:pPr>
      <w:r>
        <w:rPr>
          <w:color w:val="000000"/>
        </w:rPr>
        <w:t>Team approval and version record</w:t>
      </w:r>
    </w:p>
    <w:p w14:paraId="04ADD5B7" w14:textId="77777777" w:rsidR="006F17B3" w:rsidRDefault="00000000">
      <w:pPr/>
      <w:r>
        <w:t>All team members agree to the final 0.1.3-team version and its qualified classification. This approval is recorded from the team’s confirmation; it does not imply that every member independently reran every test.</w:t>
      </w:r>
    </w:p>
    <w:p w14:paraId="1BEC7066" w14:textId="77777777" w:rsidR="006F17B3" w:rsidRDefault="00000000">
      <w:pPr/>
      <w:r>
        <w:t>The tested source candidate was committed before execution: 6c5b6ad6ade6973b1af9aee84d3f35c521db1836. The verification package was merged through PR 4; the final repository snapshot is 69d64d0e6ed42cbee1ae03317fbb72af9f39c050.</w:t>
      </w:r>
    </w:p>
    <w:p w14:paraId="58A0C541" w14:textId="77777777" w:rsidR="006F17B3" w:rsidRDefault="00000000">
      <w:pPr/>
      <w:r>
        <w:t>The package preserves five completed original replies, exact prompts, unavailable and replacement attempts, validation logs, contrary evidence and a separate semantic review. Final checks cover the frozen architecture and the strict output contract.</w:t>
      </w:r>
    </w:p>
    <w:p w14:paraId="1398EB94" w14:textId="77777777" w:rsidR="006F17B3" w:rsidRDefault="00000000">
      <w:pPr/>
      <w:r>
        <w:t>The recorded contribution lineage remains the basis for attribution. This revision does not add individual signatures or reconstruct workshop attendance and timing.</w:t>
      </w:r>
    </w:p>
    <w:p w14:paraId="6C923D2B" w14:textId="77777777" w:rsidR="006F17B3" w:rsidRDefault="00000000">
      <w:pPr/>
      <w:r>
        <w:t>This report and the linked repository form the final submission package. The team handles course-platform submission separately.</w:t>
      </w:r>
      <w:r>
        <w:br/>
      </w:r>
      <w:hyperlink r:id="rId11">
        <w:r>
          <w:rPr>
            <w:color w:val="000000"/>
            <w:u w:val="single"/>
          </w:rPr>
          <w:t>Final repository snapshot</w:t>
        </w:r>
      </w:hyperlink>
      <w:r>
        <w:t xml:space="preserve">  |  </w:t>
      </w:r>
      <w:hyperlink r:id="rId12">
        <w:r>
          <w:rPr>
            <w:color w:val="000000"/>
            <w:u w:val="single"/>
          </w:rPr>
          <w:t>Observed tests and original replies</w:t>
        </w:r>
      </w:hyperlink>
    </w:p>
    <w:p w14:paraId="4141817F" w14:textId="77777777" w:rsidR="006F17B3" w:rsidRDefault="00000000">
      <w:pPr>
        <w:pStyle w:val="Heading1"/>
      </w:pPr>
      <w:r>
        <w:rPr>
          <w:color w:val="000000"/>
        </w:rPr>
        <w:t>Integration contract</w:t>
      </w:r>
    </w:p>
    <w:p w14:paraId="0911CE1D" w14:textId="77777777" w:rsidR="006F17B3" w:rsidRDefault="00000000">
      <w:r>
        <w:t>Keep the frozen input and output architecture and place specialist findings inside existing fields. Pass classification, confidence, opposing evidence, qualifications and monitoring triggers to the final mixture-of-experts system. Value, adoption, readiness and risk specialists assess local fit; an accountable human decision-maker retains authority. Missing evidence triggers qualification or abstention.</w:t>
      </w:r>
    </w:p>
    <w:p w14:paraId="0B1CF45F" w14:textId="77777777" w:rsidR="006F17B3" w:rsidRDefault="00000000">
      <w:pPr>
        <w:pStyle w:val="Heading1"/>
      </w:pPr>
      <w:r>
        <w:rPr>
          <w:color w:val="000000"/>
        </w:rPr>
        <w:t>Verification and evidence access</w:t>
      </w:r>
    </w:p>
    <w:p w14:paraId="70D79F13" w14:textId="5E675745" w:rsidR="006F17B3" w:rsidRDefault="00000000">
      <w:r>
        <w:t>Original replies were preserved before validation. Structure checks do not establish factual truth or reasoning quality. A separate semantic review examined context stability, abstention, contrary evidence and resistance to hype. The two original source pages were rechecked on October 21 2026 at abstract or publication-page level. Execution provenance is retained in the repository’s run metadata. Team approval does not remove these evidence limits.</w:t>
      </w:r>
    </w:p>
    <w:p w14:paraId="1AFE8F72" w14:textId="77777777" w:rsidR="006F17B3" w:rsidRDefault="00000000">
      <w:r>
        <w:br w:type="page"/>
      </w:r>
    </w:p>
    <w:p w14:paraId="32D1BF56" w14:textId="77777777" w:rsidR="006F17B3" w:rsidRDefault="00000000">
      <w:pPr>
        <w:pStyle w:val="Title"/>
      </w:pPr>
      <w:r>
        <w:rPr>
          <w:color w:val="000000"/>
        </w:rPr>
        <w:lastRenderedPageBreak/>
        <w:t>Sources and version record</w:t>
      </w:r>
    </w:p>
    <w:p w14:paraId="33A6258D" w14:textId="77777777" w:rsidR="006F17B3" w:rsidRDefault="00000000">
      <w:r>
        <w:t>Final agent version: 0.1.3-team. The source snapshots below identify the individual inputs; the final team commit identifies the tested package and handoff records. Source abstracts and official metadata were rechecked October 21 2026 without changing the fixed dossier used for the contrasts.</w:t>
      </w:r>
    </w:p>
    <w:p w14:paraId="07FB6DDD" w14:textId="77777777" w:rsidR="006F17B3" w:rsidRDefault="00000000">
      <w:pPr>
        <w:pStyle w:val="Heading1"/>
      </w:pPr>
      <w:r>
        <w:rPr>
          <w:color w:val="000000"/>
        </w:rPr>
        <w:t>Evidence scope</w:t>
      </w:r>
    </w:p>
    <w:p w14:paraId="53B27061" w14:textId="77777777" w:rsidR="006F17B3" w:rsidRDefault="00000000">
      <w:r>
        <w:t>Brynjolfsson, Li and Raymond. Generative AI at Work. arXiv 2304.11771 version 2, revised November 6 2024. Original abstract inspected. Supports heterogeneous assistance benefits in a customer-support setting, not universal ROI or societal irreversibility. https://arxiv.org/abs/2304.11771v2</w:t>
      </w:r>
    </w:p>
    <w:p w14:paraId="7F8E22CF" w14:textId="77777777" w:rsidR="006F17B3" w:rsidRDefault="00000000">
      <w:r>
        <w:t>NIST AI 600-1. Artificial Intelligence Risk Management Framework Generative Artificial Intelligence Profile. Published July 26 2024. Official publication abstract inspected; supports voluntary governance context, not efficacy or clearance. https://doi.org/10.6028/NIST.AI.600-1</w:t>
      </w:r>
    </w:p>
    <w:p w14:paraId="0ADA5CC8" w14:textId="77777777" w:rsidR="006F17B3" w:rsidRDefault="00000000">
      <w:r>
        <w:t>The course instrument is inherited from candidate paraphrases attributed to Andres Fortino, Chapter 11, Identifying Promethean Technologies, August 2026 draft revision 0.1. The original chapter was not separately inspected. The assignment’s Team Lab 5 requirements govern this report. We retain the chapter-alignment qualification rather than claiming verification that did not occur.</w:t>
      </w:r>
    </w:p>
    <w:p w14:paraId="7626289D" w14:textId="77777777" w:rsidR="006F17B3" w:rsidRDefault="00000000">
      <w:pPr>
        <w:pStyle w:val="Heading1"/>
      </w:pPr>
      <w:r>
        <w:rPr>
          <w:color w:val="000000"/>
        </w:rPr>
        <w:t>Repository snapshots</w:t>
      </w:r>
    </w:p>
    <w:p w14:paraId="30F10593" w14:textId="77777777" w:rsidR="006F17B3" w:rsidRDefault="00000000">
      <w:r>
        <w:t>https://github.com/mp7240-sudo/MASY1800-Emerging-Technology-Promethean-Agent</w:t>
      </w:r>
      <w:r>
        <w:br/>
        <w:t>Commit 5563ea0e55ba59b5f86694d1267cb1def15ff2cb</w:t>
      </w:r>
    </w:p>
    <w:p w14:paraId="296F9984" w14:textId="77777777" w:rsidR="006F17B3" w:rsidRDefault="00000000">
      <w:r>
        <w:t>https://github.com/yanisimova/SubAgent</w:t>
      </w:r>
      <w:r>
        <w:br/>
        <w:t>Commit 887b1109feaa0b8feeda602f6dd81ce1b97fd64a (completed candidate in SubAgent_Missing_Files.zip; initial scaffold commit 99bd675b1b2e3ac26c81d98339bf71069b940222)</w:t>
      </w:r>
    </w:p>
    <w:p w14:paraId="396130E0" w14:textId="77777777" w:rsidR="006F17B3" w:rsidRDefault="00000000">
      <w:r>
        <w:t>https://github.com/sawulya/Lab-4---SubAgent-3-Promethean</w:t>
      </w:r>
      <w:r>
        <w:br/>
        <w:t>Commit c2c1183d19b71d2f3e62d8d2b68ceb5966dfc360</w:t>
      </w:r>
    </w:p>
    <w:p w14:paraId="609CC5A2" w14:textId="77777777" w:rsidR="006F17B3" w:rsidRDefault="00000000">
      <w:r>
        <w:t>https://github.com/yicrry777/1800lab4</w:t>
      </w:r>
      <w:r>
        <w:br/>
        <w:t>Commit f35ccbf6bdf6d27d1df7c28cff65007a158e6957</w:t>
      </w:r>
    </w:p>
    <w:p w14:paraId="7956C3E5" w14:textId="77777777" w:rsidR="006F17B3" w:rsidRDefault="00000000">
      <w:r>
        <w:t>https://github.com/Harry-max264/Lab4</w:t>
      </w:r>
      <w:r>
        <w:br/>
        <w:t>Commit 58a74ccd8b02d108fccfcdac5ce59f82dee2efe7</w:t>
      </w:r>
    </w:p>
    <w:p w14:paraId="10A6258D" w14:textId="77777777" w:rsidR="006F17B3" w:rsidRDefault="00000000">
      <w:r>
        <w:t>Frozen files were copied from the candidate scaffold and match the preserved manifest. Independent comparison with the canonical course ZIP remains unconfirmed. Source paths, evidence notes, original replies and validation output are available in the final team repository. No local deployment approval is implied by the significance classification.</w:t>
      </w:r>
    </w:p>
    <w:sectPr w:rsidR="006F17B3"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C734B6" w14:textId="77777777" w:rsidR="0059290A" w:rsidRDefault="0059290A">
      <w:pPr>
        <w:spacing w:after="0" w:line="240" w:lineRule="auto"/>
      </w:pPr>
      <w:r>
        <w:separator/>
      </w:r>
    </w:p>
  </w:endnote>
  <w:endnote w:type="continuationSeparator" w:id="0">
    <w:p w14:paraId="7E0D3300" w14:textId="77777777" w:rsidR="0059290A" w:rsidRDefault="005929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565181" w14:textId="77777777" w:rsidR="006F17B3" w:rsidRDefault="00000000">
    <w:pPr>
      <w:pStyle w:val="Footer"/>
      <w:jc w:val="right"/>
    </w:pPr>
    <w:r>
      <w:rPr>
        <w:sz w:val="18"/>
      </w:rPr>
      <w:t xml:space="preserve">Team Lab 5  |  Final v0.1.3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5AEA48" w14:textId="77777777" w:rsidR="0059290A" w:rsidRDefault="0059290A">
      <w:pPr>
        <w:spacing w:after="0" w:line="240" w:lineRule="auto"/>
      </w:pPr>
      <w:r>
        <w:separator/>
      </w:r>
    </w:p>
  </w:footnote>
  <w:footnote w:type="continuationSeparator" w:id="0">
    <w:p w14:paraId="42FA748A" w14:textId="77777777" w:rsidR="0059290A" w:rsidRDefault="005929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8350694">
    <w:abstractNumId w:val="8"/>
  </w:num>
  <w:num w:numId="2" w16cid:durableId="327052436">
    <w:abstractNumId w:val="6"/>
  </w:num>
  <w:num w:numId="3" w16cid:durableId="1989092156">
    <w:abstractNumId w:val="5"/>
  </w:num>
  <w:num w:numId="4" w16cid:durableId="1875120440">
    <w:abstractNumId w:val="4"/>
  </w:num>
  <w:num w:numId="5" w16cid:durableId="854348230">
    <w:abstractNumId w:val="7"/>
  </w:num>
  <w:num w:numId="6" w16cid:durableId="672756192">
    <w:abstractNumId w:val="3"/>
  </w:num>
  <w:num w:numId="7" w16cid:durableId="344332874">
    <w:abstractNumId w:val="2"/>
  </w:num>
  <w:num w:numId="8" w16cid:durableId="346254173">
    <w:abstractNumId w:val="1"/>
  </w:num>
  <w:num w:numId="9" w16cid:durableId="823865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C1A"/>
    <w:rsid w:val="0015074B"/>
    <w:rsid w:val="0029639D"/>
    <w:rsid w:val="00326F90"/>
    <w:rsid w:val="00582AFD"/>
    <w:rsid w:val="0059290A"/>
    <w:rsid w:val="006F17B3"/>
    <w:rsid w:val="0092645A"/>
    <w:rsid w:val="00AA1D8D"/>
    <w:rsid w:val="00B47730"/>
    <w:rsid w:val="00B975A1"/>
    <w:rsid w:val="00CB0664"/>
    <w:rsid w:val="00D40E21"/>
    <w:rsid w:val="00EA67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67ED67"/>
  <w14:defaultImageDpi w14:val="300"/>
  <w15:docId w15:val="{27B761D7-63D7-AC4F-A62F-095F08C88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Calibri" w:hAnsi="Calibri"/>
      <w:color w:val="000000"/>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yperlink" Target="https://github.com/Milk-Almond/Team-Assignment-5/tree/69d64d0e6ed42cbee1ae03317fbb72af9f39c050" TargetMode="External"/><Relationship Id="rId12" Type="http://schemas.openxmlformats.org/officeDocument/2006/relationships/hyperlink" Target="https://github.com/Milk-Almond/Team-Assignment-5/tree/69d64d0e6ed42cbee1ae03317fbb72af9f39c050/records/observed_tests/retest_0_1_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1577</Words>
  <Characters>8993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Lab 5 Promethean Classification</dc:title>
  <dc:subject>Milk Almonds final report and Team Agent Record version 0.1.3-team</dc:subject>
  <dc:creator>Milk Almonds</dc:creator>
  <cp:keywords/>
  <dc:description>generated by python-docx</dc:description>
  <cp:lastModifiedBy>Yulia Anisimova</cp:lastModifiedBy>
  <cp:revision>2</cp:revision>
  <dcterms:created xsi:type="dcterms:W3CDTF">2026-10-21T00:48:00Z</dcterms:created>
  <dcterms:modified xsi:type="dcterms:W3CDTF">2026-10-21T00:48:00Z</dcterms:modified>
  <cp:category/>
</cp:coreProperties>
</file>