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rPr>
          <w:b/>
          <w:color w:val="18365D"/>
        </w:rPr>
        <w:t>Team Lab 6</w:t>
      </w:r>
    </w:p>
    <w:p>
      <w:pPr>
        <w:pStyle w:val="Title"/>
        <w:jc w:val="center"/>
      </w:pPr>
      <w:r>
        <w:t>Emerging Technology Diffusion Agent</w:t>
      </w:r>
    </w:p>
    <w:p>
      <w:pPr>
        <w:jc w:val="center"/>
      </w:pPr>
      <w:r>
        <w:rPr>
          <w:color w:val="464646"/>
          <w:sz w:val="30"/>
        </w:rPr>
        <w:t>ChatGPT for Human Reviewed Internal Document Drafting</w:t>
      </w:r>
    </w:p>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Course</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MASY1 GC 1800 Emerging Technologies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Team artifact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SubAgent 4 Emerging Technology Diffusion Agent</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Approved version</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1.0 team synthesis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Approval date</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October 27 2026</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Repository commit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16573f6b08425d86d579b1de168d54b0e70680be</w:t>
            </w:r>
          </w:p>
        </w:tc>
      </w:tr>
    </w:tbl>
    <w:p>
      <w:pPr>
        <w:pStyle w:val="Heading1"/>
        <w:keepNext/>
      </w:pPr>
      <w:r>
        <w:t>Team Decision</w:t>
      </w:r>
    </w:p>
    <w:p>
      <w:pPr/>
      <w:r>
        <w:t>All team members approved the team Diffusion Agent and the decision recorded in this report. The integrated system should accept that ChatGPT has broad individual and commercial reach while the diffusion stage of the exact application—sustained human-reviewed drafting of internal nonbinding documents at comparable professional-services firms—remains indeterminate.</w:t>
      </w:r>
    </w:p>
    <w:p>
      <w:pPr/>
      <w:r>
        <w:t>Compatibility is the decisive Rogers factor for the selected case. Approved data handling, human review, and document-control fit determine whether broad product familiarity can translate into a usable organizational workflow. The justified timing implication is to establish a baseline and gather bounded application evidence during the six-month planning horizon. The Adoption Agent retains authority over adopt, experiment, monitor, defer, or reject decisions.</w:t>
      </w:r>
    </w:p>
    <w:p>
      <w:pPr>
        <w:pStyle w:val="Heading2"/>
        <w:keepNext/>
      </w:pPr>
      <w:r>
        <w:t>Submission Package</w:t>
      </w:r>
    </w:p>
    <w:p>
      <w:pPr>
        <w:pStyle w:val="ListBullet"/>
        <w:spacing w:after="80"/>
      </w:pPr>
      <w:r>
        <w:t>Team-approved Diffusion Agent and Agent Record</w:t>
      </w:r>
    </w:p>
    <w:p>
      <w:pPr>
        <w:pStyle w:val="ListBullet"/>
        <w:spacing w:after="80"/>
      </w:pPr>
      <w:r>
        <w:t>Rogers factor assessment and three-level finding</w:t>
      </w:r>
    </w:p>
    <w:p>
      <w:pPr>
        <w:pStyle w:val="ListBullet"/>
        <w:spacing w:after="80"/>
      </w:pPr>
      <w:r>
        <w:t>Dated evidence register with denominator and scope limits</w:t>
      </w:r>
    </w:p>
    <w:p>
      <w:pPr>
        <w:pStyle w:val="ListBullet"/>
        <w:spacing w:after="80"/>
      </w:pPr>
      <w:r>
        <w:t>Context contrast and three independent ChatGPT test conversations</w:t>
      </w:r>
    </w:p>
    <w:p>
      <w:pPr>
        <w:pStyle w:val="ListBullet"/>
        <w:spacing w:after="80"/>
      </w:pPr>
      <w:r>
        <w:t>Preserved validation failure and handoff boundary to the Adoption Agent</w:t>
      </w:r>
    </w:p>
    <w:p>
      <w:r>
        <w:br w:type="page"/>
      </w:r>
    </w:p>
    <w:p>
      <w:pPr>
        <w:pStyle w:val="Heading1"/>
        <w:keepNext/>
      </w:pPr>
      <w:r>
        <w:t>Candidate Comparison and Synthesis</w:t>
      </w:r>
    </w:p>
    <w:p>
      <w:pPr/>
      <w:r>
        <w:t>The team reviewed five independently developed Diffusion Agent packages. Their cases differed, so case-specific adoption evidence was not transferred directly to the shared ChatGPT case. The synthesis retained the strongest common analytical controls.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Candidate</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Useful contribution</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Limitation retained</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Meilin Pan</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Source-population discipline, conflicting sector signals, preserved retest history</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Adjacent wealth tools did not show exact client-intake prevalence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Shenghao Ma</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Application evidence ladder, denominator warnings, explicit test provenance</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Vendor pilot and roadmap did not prove sustained peer diffusion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Yulia Anisimova</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Three posture contrasts with stable external evidence and explicit factors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Survey use or intent did not establish firm-level workflow stage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yicrry777</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Separation of service reach from proprietary-platform diffusion</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Historical clinical case could not supply current ChatGPT evidence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sawulya</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Rejection of generic chatbot counts as GenAI diffusion evidence</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Top-ten-bank chatbot counts used the wrong construct and denominator</w:t>
            </w:r>
          </w:p>
        </w:tc>
      </w:tr>
    </w:tbl>
    <w:p>
      <w:pPr>
        <w:pStyle w:val="Heading2"/>
        <w:keepNext/>
      </w:pPr>
      <w:r>
        <w:t>Synthesis Rule</w:t>
      </w:r>
    </w:p>
    <w:p>
      <w:pPr/>
      <w:r>
        <w:t>The team carried forward the common three-level scaffold, the construct-denominator-date check, explicit treatment of all five Rogers attributes, and organization-posture contrast. The team rejected a confident early-majority label for the exact application because the available measures count people, seats, businesses, or broad AI use rather than comparable firms sustaining this workflow.</w:t>
      </w:r>
    </w:p>
    <w:p>
      <w:pPr>
        <w:pStyle w:val="Heading2"/>
        <w:keepNext/>
      </w:pPr>
      <w:r>
        <w:t>Governing Question</w:t>
      </w:r>
    </w:p>
    <w:p>
      <w:pPr/>
      <w:r>
        <w:t>Where are ChatGPT and the selected drafting application in the diffusion process, what is accelerating or inhibiting spread, and what timing implication follows without prematurely making the adoption decision?</w:t>
      </w:r>
    </w:p>
    <w:p>
      <w:r>
        <w:br w:type="page"/>
      </w:r>
    </w:p>
    <w:p>
      <w:pPr>
        <w:pStyle w:val="Heading1"/>
        <w:keepNext/>
      </w:pPr>
      <w:r>
        <w:t>Three Level Diffusion Finding</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Level</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Finding</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Confidence and boundary</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ChatGPT generally</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Broad individual and commercial reach is observable. Product-user counts and business accounts show direction of spread.</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Moderate confidence in broad direction. No single Rogers stage is assigned across mixed populations.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Selected application</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Human-reviewed internal drafting is plausible and measurable, but representative peer deployment evidence for this exact workflow is missing.</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Low confidence in exact-workflow stage. Stage remains indeterminate.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Application in the organization</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A hypothetical moderate fast follower can gather bounded evidence sooner when approved data and review controls exist.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Posture changes timing and evidence thresholds; it does not change external prevalence.</w:t>
            </w:r>
          </w:p>
        </w:tc>
      </w:tr>
    </w:tbl>
    <w:p>
      <w:pPr>
        <w:pStyle w:val="Heading1"/>
        <w:keepNext/>
      </w:pPr>
      <w:r>
        <w:t>Rogers Five Characteristics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Characteristic</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Assessment</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Evidence status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Relative advantage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Potentially faster first drafts; net benefit may be offset by checking, correction, and rework.</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Inference. Requires quality-adjusted local comparison.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Compatibility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Fit depends on permitted inputs, human review, document controls, and client obligations.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Inference and decisive local factor.</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Complexity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Basic prompting is accessible; reliable instructions, source verification, and data controls add difficulty.</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Inference. Measure reviewer burden and error severity.</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Trialability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A bounded test with synthetic or explicitly approved material is feasible in principle.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Proposed design, not observed uptake.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Observability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Draft time, review time, factual errors, rework, and acceptance can be compared with a baseline.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Proposed measurement, not established benefit.</w:t>
            </w:r>
          </w:p>
        </w:tc>
      </w:tr>
    </w:tbl>
    <w:p>
      <w:pPr>
        <w:pStyle w:val="Heading2"/>
        <w:keepNext/>
      </w:pPr>
      <w:r>
        <w:t>Accelerators and Inhibitors</w:t>
      </w:r>
    </w:p>
    <w:p>
      <w:pPr/>
      <w:r>
        <w:t>Accelerators include consumer familiarity, broad product distribution, business access, and the possibility of bounded trials. These are observable ecosystem conditions; their causal effect on the selected workflow remains an inference. Inhibitors include confidentiality constraints, verification effort, inconsistent output quality, missing application-specific peer data, and the lack of a local baseline. No specific standard, opinion leader, or change agent was shown to cause adoption in the defined peer group.</w:t>
      </w:r>
    </w:p>
    <w:p>
      <w:pPr>
        <w:pStyle w:val="Heading1"/>
        <w:keepNext/>
      </w:pPr>
      <w:r>
        <w:t>Dated Evidence Register</w:t>
      </w:r>
    </w:p>
    <w:p>
      <w:pPr/>
      <w:r>
        <w:t>The evidence supports broad reach and direction of spread. It does not supply a representative denominator for the exact workflow. Publication dates and observation dates are kept separate where the source provides them.</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Source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Dated observation</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Supported claim</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Scope limit</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Pew Research Center</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Survey February 17–23 2026; published June 17 2026; 5,119 US adults</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44 percent reported ever using ChatGPT; 38 percent of employed adults reported AI-chatbot use for work tasks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Ever use is not sustained firm workflow use; work question covers multiple chatbots</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OpenAI</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Published September 8 2026</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More than one billion weekly users and 2.5 million businesses reported across products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First-party, global, mixed-product reach; not a fraction of comparable firms</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OpenAI</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Published November 5 2025</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More than one million paying business customers and more than seven million ChatGPT for Work seats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Customers include ChatGPT for Work or API; seats are not active users or workflow adoption</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OpenAI enterprise report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Published December 2025; survey of about 9,000 workers in almost 100 customer enterprises</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Enterprise message volume and workflow-feature use increased among the observed customer population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Customer-selected sample; messages do not prove successful human-reviewed drafting</w:t>
            </w:r>
          </w:p>
        </w:tc>
      </w:tr>
    </w:tbl>
    <w:p>
      <w:pPr>
        <w:pStyle w:val="Heading2"/>
        <w:keepNext/>
      </w:pPr>
      <w:r>
        <w:t>Evidence Interpretation</w:t>
      </w:r>
    </w:p>
    <w:p>
      <w:pPr/>
      <w:r>
        <w:t>The weak claim preserved for rejection is that ChatGPT has reached the early majority for human-reviewed internal drafting at comparable US professional-services firms. The cited sources do not identify that adopter population or sustained behavior. Lack of a matching rate is not evidence that peers are absent; it is a reason to abstain from a precise application-stage label.</w:t>
      </w:r>
    </w:p>
    <w:p>
      <w:pPr>
        <w:pStyle w:val="Heading2"/>
        <w:keepNext/>
      </w:pPr>
      <w:r>
        <w:t>Sources</w:t>
      </w:r>
    </w:p>
    <w:p>
      <w:pPr>
        <w:pStyle w:val="ListBullet"/>
        <w:spacing w:after="80"/>
      </w:pPr>
      <w:r>
        <w:t>Pew Research Center. Americans and AI 2026 Chatbots Smart Devices and Views on Impact. June 17 2026. https://www.pewresearch.org/internet/2026/06/17/americans-and-ai-2026-chatbots-smart-devices-and-views-on-impact/</w:t>
      </w:r>
    </w:p>
    <w:p>
      <w:pPr>
        <w:pStyle w:val="ListBullet"/>
        <w:spacing w:after="80"/>
      </w:pPr>
      <w:r>
        <w:t>OpenAI. The Work Now Within Reach. September 8 2026. https://openai.com/index/the-work-now-within-reach/</w:t>
      </w:r>
    </w:p>
    <w:p>
      <w:pPr>
        <w:pStyle w:val="ListBullet"/>
        <w:spacing w:after="80"/>
      </w:pPr>
      <w:r>
        <w:t>OpenAI. 1 Million Business Customers Putting AI to Work. November 5 2025. https://openai.com/index/1-million-businesses-putting-ai-to-work/</w:t>
      </w:r>
    </w:p>
    <w:p>
      <w:pPr>
        <w:pStyle w:val="ListBullet"/>
        <w:spacing w:after="80"/>
      </w:pPr>
      <w:r>
        <w:t>OpenAI. The State of Enterprise AI 2025 Report. December 2025. https://openai.com/business/guides-and-resources/the-state-of-enterprise-ai-2025-report/</w:t>
      </w:r>
    </w:p>
    <w:p>
      <w:pPr>
        <w:pStyle w:val="ListBullet"/>
        <w:spacing w:after="80"/>
      </w:pPr>
      <w:r>
        <w:t>Rogers Everett M. Diffusion of Innovations. Fifth edition. Free Press. 2003.</w:t>
      </w:r>
    </w:p>
    <w:p>
      <w:pPr>
        <w:pStyle w:val="Heading1"/>
        <w:keepNext/>
      </w:pPr>
      <w:r>
        <w:t>Testing and Validation</w:t>
      </w:r>
    </w:p>
    <w:p>
      <w:pPr/>
      <w:r>
        <w:t>The team used the unchanged common scaffold and the same ChatGPT case. Tests were run rather than described prospectively. Raw failures were retained.</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Test</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Observed result</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Meaning and limit</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Frozen core integrity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Passed</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Common instructions, schemas, and scaffold tools matched their stored checksums.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Reference response validation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Three responses passed</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Confirms the required JSON fields and basic types; does not judge factual quality.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Organization posture contrast</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Passed</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External evidence and application assessment stayed stable while timing implications changed.</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Constructed overclaim negative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Common validator passed; semantic check failed as intended</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Shows that structural validation alone cannot detect an unsupported early-majority claim.</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Three new ChatGPT conversations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Run 1 failed JSON syntax; Runs 2 and 3 passed</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All three preserved the core analytical boundary; the syntax failure remains in the repository.</w:t>
            </w:r>
          </w:p>
        </w:tc>
      </w:tr>
    </w:tbl>
    <w:p>
      <w:r>
        <w:br w:type="page"/>
      </w:r>
    </w:p>
    <w:p>
      <w:pPr>
        <w:pStyle w:val="Heading2"/>
        <w:keepNext/>
      </w:pPr>
      <w:r>
        <w:t>Independent Run Results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Run</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Conversation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Validation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Analytical outcome</w:t>
            </w:r>
          </w:p>
        </w:tc>
      </w:tr>
      <w:tr>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Fresh ChatGPT web conversation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Failed with extra JSON data</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Substantive answer retained five factors, application-stage abstention, timing, and Adoption Agent boundary.</w:t>
            </w:r>
          </w:p>
        </w:tc>
      </w:tr>
      <w:tr>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2</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Fresh ChatGPT web conversation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Passed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Stage remained indeterminate; product popularity was not converted into exact-workflow adoption.</w:t>
            </w:r>
          </w:p>
        </w:tc>
      </w:tr>
      <w:tr>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3</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Fresh ChatGPT web conversation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Passed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Separated product reach, peer diffusion, and organization-specific timing; no numerical market share invented.</w:t>
            </w:r>
          </w:p>
        </w:tc>
      </w:tr>
    </w:tbl>
    <w:p>
      <w:pPr>
        <w:pStyle w:val="Heading2"/>
        <w:keepNext/>
      </w:pPr>
      <w:r>
        <w:t>Observed Limitation and Revision</w:t>
      </w:r>
    </w:p>
    <w:p>
      <w:pPr/>
      <w:r>
        <w:t>Run 1 demonstrates a real output-format failure: a substantively appropriate response can still violate the JSON contract. The repository preserves the uncorrected response, and the test record distinguishes substantive review from structural validation. The team did not rewrite the failed result to make the test set appear uniformly successful.</w:t>
      </w:r>
    </w:p>
    <w:p>
      <w:pPr>
        <w:pStyle w:val="Heading1"/>
        <w:keepNext/>
      </w:pPr>
      <w:r>
        <w:t>Context Contrast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Organizational posture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What stays stable</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18365D"/>
          </w:tcPr>
          <w:p>
            <w:pPr>
              <w:spacing w:after="0" w:line="252" w:lineRule="auto"/>
            </w:pPr>
            <w:r>
              <w:rPr>
                <w:rFonts w:ascii="Aptos" w:hAnsi="Aptos"/>
                <w:b/>
                <w:color w:val="FFFFFF"/>
                <w:sz w:val="18"/>
              </w:rPr>
              <w:t>Timing implication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Moderate fast follower</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Broad reach, indeterminate exact-workflow stage, five-factor assessment</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Clarify data and review requirements, establish baseline, then gather bounded evidence within six months.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Conservative follower</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Same external evidence and application assessment</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0F8"/>
          </w:tcPr>
          <w:p>
            <w:pPr>
              <w:spacing w:after="0" w:line="252" w:lineRule="auto"/>
            </w:pPr>
            <w:r>
              <w:rPr>
                <w:rFonts w:ascii="Aptos" w:hAnsi="Aptos"/>
                <w:sz w:val="18"/>
              </w:rPr>
              <w:t>Resolve confidentiality authority and reviewer capacity first; prepare only with synthetic material meanwhile.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Aggressive learner</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Same external evidence and application assessment</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tcPr>
          <w:p>
            <w:pPr>
              <w:spacing w:after="0" w:line="252" w:lineRule="auto"/>
            </w:pPr>
            <w:r>
              <w:rPr>
                <w:rFonts w:ascii="Aptos" w:hAnsi="Aptos"/>
                <w:sz w:val="18"/>
              </w:rPr>
              <w:t>If an approved isolated environment and reviewers exist, gather short-cycle evidence earlier; expansion still requires Adoption Agent judgment.</w:t>
            </w:r>
          </w:p>
        </w:tc>
      </w:tr>
    </w:tbl>
    <w:p>
      <w:pPr>
        <w:pStyle w:val="Heading1"/>
        <w:keepNext/>
      </w:pPr>
      <w:r>
        <w:t>Dissent and Remaining Uncertainty</w:t>
      </w:r>
    </w:p>
    <w:p>
      <w:pPr/>
      <w:r>
        <w:t>The strongest competing interpretation is that rapid growth in users, paying businesses, and workplace seats is sufficient to label the selected application early majority. The team did not accept that interpretation because those measures do not count comparable firms sustaining the exact workflow. The remaining uncertainty is whether a narrower peer study or internal baseline would materially change the timing implication. A representative peer denominator, repeated-use evidence, or measured local outcomes would reopen the judgment.</w:t>
      </w:r>
    </w:p>
    <w:p>
      <w:pPr>
        <w:pStyle w:val="Heading1"/>
        <w:keepNext/>
      </w:pPr>
      <w:r>
        <w:t>Handoff to the Adoption Agent</w:t>
      </w:r>
    </w:p>
    <w:p>
      <w:pPr>
        <w:pStyle w:val="ListBullet"/>
        <w:spacing w:after="80"/>
      </w:pPr>
      <w:r>
        <w:t>Carry forward the broad-reach signal as context, with its source and denominator limits.</w:t>
      </w:r>
    </w:p>
    <w:p>
      <w:pPr>
        <w:pStyle w:val="ListBullet"/>
        <w:spacing w:after="80"/>
      </w:pPr>
      <w:r>
        <w:t>Treat the selected workflow and peer-stage assessment as indeterminate.</w:t>
      </w:r>
    </w:p>
    <w:p>
      <w:pPr>
        <w:pStyle w:val="ListBullet"/>
        <w:spacing w:after="80"/>
      </w:pPr>
      <w:r>
        <w:t>Use compatibility with approved data handling and human review as the decisive local diffusion factor.</w:t>
      </w:r>
    </w:p>
    <w:p>
      <w:pPr>
        <w:pStyle w:val="ListBullet"/>
        <w:spacing w:after="80"/>
      </w:pPr>
      <w:r>
        <w:t>Use the six-month timing implication to plan evidence gathering, without interpreting it as adoption approval.</w:t>
      </w:r>
    </w:p>
    <w:p>
      <w:pPr>
        <w:pStyle w:val="ListBullet"/>
        <w:spacing w:after="80"/>
      </w:pPr>
      <w:r>
        <w:t>Retain final authority for risk acceptance, resources, rollout, and adopt, experiment, monitor, defer, or reject posture.</w:t>
      </w:r>
    </w:p>
    <w:p>
      <w:pPr>
        <w:pStyle w:val="Heading1"/>
        <w:keepNext/>
      </w:pPr>
      <w:r>
        <w:t>Contribution and Version Record</w:t>
      </w:r>
    </w:p>
    <w:p>
      <w:pPr/>
      <w:r>
        <w:t>The team synthesis incorporated material design contributions from the five linked individual repositories. The team confirmed that all members approved the integrated version. The repository maintains the common scaffold, agent instructions, evidence register, cases, outputs, test scripts, test record, and commit history.</w:t>
      </w:r>
    </w:p>
    <w:p>
      <w:pPr>
        <w:pStyle w:val="ListBullet"/>
        <w:spacing w:after="80"/>
      </w:pPr>
      <w:r>
        <w:t>Team repository: https://github.com/Milk-Almond/Team-Assignment6</w:t>
      </w:r>
    </w:p>
    <w:p>
      <w:pPr>
        <w:pStyle w:val="ListBullet"/>
        <w:spacing w:after="80"/>
      </w:pPr>
      <w:r>
        <w:t>Approved commit: 16573f6b08425d86d579b1de168d54b0e70680be</w:t>
      </w:r>
    </w:p>
    <w:p>
      <w:pPr>
        <w:pStyle w:val="ListBullet"/>
        <w:spacing w:after="80"/>
      </w:pPr>
      <w:r>
        <w:t>Approved agent version: 1.0 team synthesis</w:t>
      </w:r>
    </w:p>
    <w:p>
      <w:pPr>
        <w:pStyle w:val="ListBullet"/>
        <w:spacing w:after="80"/>
      </w:pPr>
      <w:r>
        <w:t>Final-project destination: diffusion expert and timing evidence for the Mixture of Experts system</w:t>
      </w:r>
    </w:p>
    <w:p>
      <w:pPr>
        <w:pStyle w:val="Heading1"/>
        <w:keepNext/>
      </w:pPr>
      <w:r>
        <w:t>Final Submission Statement</w:t>
      </w:r>
    </w:p>
    <w:p>
      <w:pPr/>
      <w:r>
        <w:t>This report is the team-approved Brightspace artifact for Team Lab 6. It documents the accepted diffusion judgment, Rogers-factor logic, dated evidence, context contrast, preserved limitation, three independent ChatGPT runs, repository version, and boundary to the Adoption Agent.</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MASY1 GC 1800   Team Lab 6   Emerging Technology Diffusion Agent</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Lab 6 Emerging Technology Diffusion Agent</dc:title>
  <dc:subject>ChatGPT diffusion synthesis and validation</dc:subject>
  <dc:creator>MASY1 GC 1800 Team</dc:creator>
  <cp:keywords>diffusion, Rogers, ChatGPT, Team Lab 6</cp:keywords>
  <dc:description>generated by python-docx</dc:description>
  <cp:lastModifiedBy/>
  <cp:revision>1</cp:revision>
  <dcterms:created xsi:type="dcterms:W3CDTF">2013-12-23T23:15:00Z</dcterms:created>
  <dcterms:modified xsi:type="dcterms:W3CDTF">2013-12-23T23:15:00Z</dcterms:modified>
  <cp:category/>
</cp:coreProperties>
</file>