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740D" w14:textId="5A8D177F" w:rsidR="00946019" w:rsidRDefault="00BF2FA1">
      <w:pPr>
        <w:pStyle w:val="a3"/>
        <w:widowControl/>
      </w:pPr>
      <w:r>
        <w:rPr>
          <w:rStyle w:val="a4"/>
          <w:rFonts w:hint="eastAsia"/>
        </w:rPr>
        <w:t>ACF</w:t>
      </w:r>
      <w:r w:rsidR="00000000">
        <w:rPr>
          <w:rStyle w:val="a4"/>
        </w:rPr>
        <w:t>因子开发文档</w:t>
      </w:r>
    </w:p>
    <w:p w14:paraId="5F1D27BF" w14:textId="77777777" w:rsidR="00946019" w:rsidRDefault="00000000">
      <w:pPr>
        <w:widowControl/>
      </w:pPr>
      <w:r>
        <w:pict w14:anchorId="3C53C3E2">
          <v:rect id="_x0000_i1025" style="width:6in;height:1.5pt" o:hralign="center" o:hrstd="t" o:hr="t" fillcolor="#a0a0a0" stroked="f"/>
        </w:pict>
      </w:r>
    </w:p>
    <w:p w14:paraId="5A4D5844" w14:textId="77777777" w:rsidR="00946019" w:rsidRDefault="00000000">
      <w:pPr>
        <w:pStyle w:val="3"/>
        <w:widowControl/>
      </w:pPr>
      <w:r>
        <w:t>1. 因子基本信息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315"/>
      </w:tblGrid>
      <w:tr w:rsidR="00946019" w14:paraId="67EA18B0" w14:textId="77777777" w:rsidTr="00ED3C61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68CB7BE4" w14:textId="77777777" w:rsidR="00946019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044DD805" w14:textId="77777777" w:rsidR="00946019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内容</w:t>
            </w:r>
          </w:p>
        </w:tc>
      </w:tr>
      <w:tr w:rsidR="00946019" w14:paraId="451A788B" w14:textId="77777777" w:rsidTr="00ED3C61">
        <w:trPr>
          <w:tblCellSpacing w:w="15" w:type="dxa"/>
        </w:trPr>
        <w:tc>
          <w:tcPr>
            <w:tcW w:w="0" w:type="auto"/>
            <w:vAlign w:val="center"/>
          </w:tcPr>
          <w:p w14:paraId="5E30BDEE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因子名称</w:t>
            </w:r>
          </w:p>
        </w:tc>
        <w:tc>
          <w:tcPr>
            <w:tcW w:w="0" w:type="auto"/>
            <w:vAlign w:val="center"/>
          </w:tcPr>
          <w:p w14:paraId="675E67DB" w14:textId="0BDEC588" w:rsidR="00946019" w:rsidRDefault="00BF2FA1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ACF 成交额收敛发散因子</w:t>
            </w:r>
          </w:p>
        </w:tc>
      </w:tr>
      <w:tr w:rsidR="00946019" w14:paraId="78B873EA" w14:textId="77777777" w:rsidTr="00ED3C61">
        <w:trPr>
          <w:tblCellSpacing w:w="15" w:type="dxa"/>
        </w:trPr>
        <w:tc>
          <w:tcPr>
            <w:tcW w:w="0" w:type="auto"/>
            <w:vAlign w:val="center"/>
          </w:tcPr>
          <w:p w14:paraId="06BC57DB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唯一标识符</w:t>
            </w:r>
          </w:p>
        </w:tc>
        <w:tc>
          <w:tcPr>
            <w:tcW w:w="0" w:type="auto"/>
            <w:vAlign w:val="center"/>
          </w:tcPr>
          <w:p w14:paraId="4727447C" w14:textId="77CB78D4" w:rsidR="00946019" w:rsidRDefault="00000000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FACTOR_</w:t>
            </w:r>
            <w:r w:rsidR="00BF2FA1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ACF</w:t>
            </w:r>
          </w:p>
        </w:tc>
      </w:tr>
      <w:tr w:rsidR="00946019" w14:paraId="5CCF1DC7" w14:textId="77777777" w:rsidTr="00ED3C61">
        <w:trPr>
          <w:tblCellSpacing w:w="15" w:type="dxa"/>
        </w:trPr>
        <w:tc>
          <w:tcPr>
            <w:tcW w:w="0" w:type="auto"/>
            <w:vAlign w:val="center"/>
          </w:tcPr>
          <w:p w14:paraId="34BF385E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开发日期</w:t>
            </w:r>
          </w:p>
        </w:tc>
        <w:tc>
          <w:tcPr>
            <w:tcW w:w="0" w:type="auto"/>
            <w:vAlign w:val="center"/>
          </w:tcPr>
          <w:p w14:paraId="6FC3A559" w14:textId="2377A0D7" w:rsidR="00946019" w:rsidRDefault="00000000">
            <w:pPr>
              <w:widowControl/>
              <w:jc w:val="left"/>
            </w:pPr>
            <w:bookmarkStart w:id="0" w:name="OLE_LINK1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202</w:t>
            </w:r>
            <w:r w:rsidR="00BF2FA1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6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-0</w:t>
            </w:r>
            <w:r w:rsidR="00BF2FA1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-06</w:t>
            </w:r>
            <w:bookmarkEnd w:id="0"/>
          </w:p>
        </w:tc>
      </w:tr>
      <w:tr w:rsidR="00946019" w14:paraId="1CC13EDF" w14:textId="77777777" w:rsidTr="00ED3C61">
        <w:trPr>
          <w:tblCellSpacing w:w="15" w:type="dxa"/>
        </w:trPr>
        <w:tc>
          <w:tcPr>
            <w:tcW w:w="0" w:type="auto"/>
            <w:vAlign w:val="center"/>
          </w:tcPr>
          <w:p w14:paraId="57FCEC51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开发人员</w:t>
            </w:r>
          </w:p>
        </w:tc>
        <w:tc>
          <w:tcPr>
            <w:tcW w:w="0" w:type="auto"/>
            <w:vAlign w:val="center"/>
          </w:tcPr>
          <w:p w14:paraId="24FC4956" w14:textId="2C7709CA" w:rsidR="00946019" w:rsidRDefault="00BF2FA1">
            <w:pPr>
              <w:widowControl/>
              <w:jc w:val="left"/>
            </w:pPr>
            <w:r>
              <w:rPr>
                <w:rFonts w:hint="eastAsia"/>
              </w:rPr>
              <w:t>杨竣</w:t>
            </w:r>
            <w:proofErr w:type="gramStart"/>
            <w:r>
              <w:rPr>
                <w:rFonts w:hint="eastAsia"/>
              </w:rPr>
              <w:t>凯</w:t>
            </w:r>
            <w:proofErr w:type="gramEnd"/>
          </w:p>
        </w:tc>
      </w:tr>
      <w:tr w:rsidR="00946019" w14:paraId="41D605A9" w14:textId="77777777" w:rsidTr="00ED3C61">
        <w:trPr>
          <w:tblCellSpacing w:w="15" w:type="dxa"/>
        </w:trPr>
        <w:tc>
          <w:tcPr>
            <w:tcW w:w="0" w:type="auto"/>
            <w:vAlign w:val="center"/>
          </w:tcPr>
          <w:p w14:paraId="2677C79E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最后更新</w:t>
            </w:r>
          </w:p>
        </w:tc>
        <w:tc>
          <w:tcPr>
            <w:tcW w:w="0" w:type="auto"/>
            <w:vAlign w:val="center"/>
          </w:tcPr>
          <w:p w14:paraId="6DBCB422" w14:textId="5B03F201" w:rsidR="00946019" w:rsidRDefault="00BF2FA1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202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6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-0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-06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v1.0</w:t>
            </w:r>
          </w:p>
        </w:tc>
      </w:tr>
      <w:tr w:rsidR="00946019" w14:paraId="1F8A7A61" w14:textId="77777777" w:rsidTr="00ED3C61">
        <w:trPr>
          <w:tblCellSpacing w:w="15" w:type="dxa"/>
        </w:trPr>
        <w:tc>
          <w:tcPr>
            <w:tcW w:w="0" w:type="auto"/>
            <w:vAlign w:val="center"/>
          </w:tcPr>
          <w:p w14:paraId="19B0A95D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关联研究</w:t>
            </w:r>
          </w:p>
        </w:tc>
        <w:tc>
          <w:tcPr>
            <w:tcW w:w="0" w:type="auto"/>
            <w:vAlign w:val="center"/>
          </w:tcPr>
          <w:p w14:paraId="44BF57A8" w14:textId="27941849" w:rsidR="00946019" w:rsidRDefault="00BF2FA1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开源</w:t>
            </w:r>
            <w:r w:rsidR="00000000">
              <w:rPr>
                <w:rFonts w:ascii="宋体" w:eastAsia="宋体" w:hAnsi="宋体" w:cs="宋体"/>
                <w:kern w:val="0"/>
                <w:sz w:val="24"/>
                <w:lang w:bidi="ar"/>
              </w:rPr>
              <w:t>证券《</w:t>
            </w:r>
            <w:r w:rsidR="00824F3A" w:rsidRPr="00824F3A">
              <w:rPr>
                <w:rFonts w:ascii="宋体" w:eastAsia="宋体" w:hAnsi="宋体" w:cs="宋体"/>
                <w:kern w:val="0"/>
                <w:sz w:val="24"/>
                <w:lang w:bidi="ar"/>
              </w:rPr>
              <w:t>形态识别：均线的收敛与发散</w:t>
            </w:r>
            <w:r w:rsidR="00000000">
              <w:rPr>
                <w:rFonts w:ascii="宋体" w:eastAsia="宋体" w:hAnsi="宋体" w:cs="宋体"/>
                <w:kern w:val="0"/>
                <w:sz w:val="24"/>
                <w:lang w:bidi="ar"/>
              </w:rPr>
              <w:t>》（20</w:t>
            </w:r>
            <w:r w:rsidR="00824F3A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24</w:t>
            </w:r>
            <w:r w:rsidR="00000000">
              <w:rPr>
                <w:rFonts w:ascii="宋体" w:eastAsia="宋体" w:hAnsi="宋体" w:cs="宋体"/>
                <w:kern w:val="0"/>
                <w:sz w:val="24"/>
                <w:lang w:bidi="ar"/>
              </w:rPr>
              <w:t>-</w:t>
            </w:r>
            <w:r w:rsidR="00824F3A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04</w:t>
            </w:r>
            <w:r w:rsidR="00000000">
              <w:rPr>
                <w:rFonts w:ascii="宋体" w:eastAsia="宋体" w:hAnsi="宋体" w:cs="宋体"/>
                <w:kern w:val="0"/>
                <w:sz w:val="24"/>
                <w:lang w:bidi="ar"/>
              </w:rPr>
              <w:t>-</w:t>
            </w:r>
            <w:r w:rsidR="00824F3A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14</w:t>
            </w:r>
            <w:r w:rsidR="00000000">
              <w:rPr>
                <w:rFonts w:ascii="宋体" w:eastAsia="宋体" w:hAnsi="宋体" w:cs="宋体"/>
                <w:kern w:val="0"/>
                <w:sz w:val="24"/>
                <w:lang w:bidi="ar"/>
              </w:rPr>
              <w:t>）</w:t>
            </w:r>
          </w:p>
        </w:tc>
      </w:tr>
    </w:tbl>
    <w:p w14:paraId="0E51F110" w14:textId="77777777" w:rsidR="00946019" w:rsidRDefault="00000000">
      <w:pPr>
        <w:widowControl/>
      </w:pPr>
      <w:r>
        <w:rPr>
          <w:sz w:val="24"/>
        </w:rPr>
        <w:pict w14:anchorId="563AEB4F">
          <v:rect id="_x0000_i1026" style="width:6in;height:1.5pt" o:hralign="center" o:hrstd="t" o:hr="t" fillcolor="#a0a0a0" stroked="f"/>
        </w:pict>
      </w:r>
    </w:p>
    <w:p w14:paraId="01D0A84F" w14:textId="77777777" w:rsidR="00946019" w:rsidRDefault="00000000">
      <w:pPr>
        <w:pStyle w:val="3"/>
        <w:widowControl/>
      </w:pPr>
      <w:r>
        <w:t>2. 因子逻辑</w:t>
      </w:r>
    </w:p>
    <w:p w14:paraId="2F4CF18C" w14:textId="77777777" w:rsidR="00946019" w:rsidRDefault="00000000">
      <w:pPr>
        <w:pStyle w:val="4"/>
        <w:widowControl/>
      </w:pPr>
      <w:r>
        <w:t>2.1 经济含义</w:t>
      </w:r>
    </w:p>
    <w:p w14:paraId="00C1F235" w14:textId="093BD3F4" w:rsidR="00824F3A" w:rsidRDefault="00824F3A" w:rsidP="00824F3A">
      <w:pPr>
        <w:pStyle w:val="a3"/>
        <w:widowControl/>
      </w:pPr>
      <w:r w:rsidRPr="00824F3A">
        <w:t>不同周期价格均线之间的发散是常态，而收敛通常仅出现在特定的窗口期。当不</w:t>
      </w:r>
      <w:r w:rsidRPr="00824F3A">
        <w:t xml:space="preserve"> </w:t>
      </w:r>
      <w:r w:rsidRPr="00824F3A">
        <w:t>同周期价格均线趋于收敛时，我们倾向于认为个股未来进行方向选择的概率提升，即变盘点的前兆</w:t>
      </w:r>
      <w:r>
        <w:rPr>
          <w:rFonts w:hint="eastAsia"/>
        </w:rPr>
        <w:t>。</w:t>
      </w:r>
      <w:r w:rsidRPr="00824F3A">
        <w:t>价格与成交量的融合，一定程度上可以用个股成交额来替代。</w:t>
      </w:r>
    </w:p>
    <w:p w14:paraId="1730F99F" w14:textId="3E9F4FB7" w:rsidR="00946019" w:rsidRDefault="00000000" w:rsidP="00824F3A">
      <w:pPr>
        <w:pStyle w:val="a3"/>
        <w:widowControl/>
      </w:pPr>
      <w:r>
        <w:t xml:space="preserve">2.2 </w:t>
      </w:r>
      <w:r>
        <w:t>数学定义</w:t>
      </w:r>
    </w:p>
    <w:p w14:paraId="2F690B77" w14:textId="1017E2BB" w:rsidR="00824F3A" w:rsidRDefault="00824F3A" w:rsidP="00824F3A">
      <w:pPr>
        <w:pStyle w:val="a3"/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61D701" wp14:editId="163B54A6">
            <wp:extent cx="4425398" cy="364340"/>
            <wp:effectExtent l="0" t="0" r="0" b="0"/>
            <wp:docPr id="196754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8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491" cy="36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A022" w14:textId="77777777" w:rsidR="00946019" w:rsidRDefault="00000000">
      <w:pPr>
        <w:widowControl/>
      </w:pPr>
      <w:r>
        <w:pict w14:anchorId="4739D2AC">
          <v:rect id="_x0000_i1027" style="width:6in;height:1.5pt" o:hralign="center" o:hrstd="t" o:hr="t" fillcolor="#a0a0a0" stroked="f"/>
        </w:pict>
      </w:r>
    </w:p>
    <w:p w14:paraId="06CE7F03" w14:textId="77777777" w:rsidR="00946019" w:rsidRDefault="00000000">
      <w:pPr>
        <w:pStyle w:val="3"/>
        <w:widowControl/>
      </w:pPr>
      <w:r>
        <w:t>3. 数据需求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1164"/>
        <w:gridCol w:w="493"/>
        <w:gridCol w:w="2665"/>
      </w:tblGrid>
      <w:tr w:rsidR="00946019" w14:paraId="1553EEB4" w14:textId="77777777" w:rsidTr="00ED3C61">
        <w:trPr>
          <w:tblHeader/>
          <w:tblCellSpacing w:w="15" w:type="dxa"/>
          <w:jc w:val="center"/>
        </w:trPr>
        <w:tc>
          <w:tcPr>
            <w:tcW w:w="2372" w:type="pct"/>
            <w:tcBorders>
              <w:top w:val="nil"/>
              <w:bottom w:val="single" w:sz="4" w:space="0" w:color="auto"/>
            </w:tcBorders>
            <w:vAlign w:val="center"/>
          </w:tcPr>
          <w:p w14:paraId="4CD0299A" w14:textId="77777777" w:rsidR="00946019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数据字段</w:t>
            </w:r>
          </w:p>
        </w:tc>
        <w:tc>
          <w:tcPr>
            <w:tcW w:w="682" w:type="pct"/>
            <w:tcBorders>
              <w:top w:val="nil"/>
              <w:bottom w:val="single" w:sz="4" w:space="0" w:color="auto"/>
            </w:tcBorders>
            <w:vAlign w:val="center"/>
          </w:tcPr>
          <w:p w14:paraId="6BF700A7" w14:textId="77777777" w:rsidR="00946019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来源</w:t>
            </w:r>
          </w:p>
        </w:tc>
        <w:tc>
          <w:tcPr>
            <w:tcW w:w="279" w:type="pct"/>
            <w:tcBorders>
              <w:top w:val="nil"/>
              <w:bottom w:val="single" w:sz="4" w:space="0" w:color="auto"/>
            </w:tcBorders>
            <w:vAlign w:val="center"/>
          </w:tcPr>
          <w:p w14:paraId="78E33EDD" w14:textId="77777777" w:rsidR="00946019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频率</w:t>
            </w:r>
          </w:p>
        </w:tc>
        <w:tc>
          <w:tcPr>
            <w:tcW w:w="1577" w:type="pct"/>
            <w:tcBorders>
              <w:top w:val="nil"/>
              <w:bottom w:val="single" w:sz="4" w:space="0" w:color="auto"/>
            </w:tcBorders>
            <w:vAlign w:val="center"/>
          </w:tcPr>
          <w:p w14:paraId="58EAF34E" w14:textId="77777777" w:rsidR="00946019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清洗规则</w:t>
            </w:r>
          </w:p>
        </w:tc>
      </w:tr>
      <w:tr w:rsidR="00946019" w14:paraId="3B1F6BA3" w14:textId="77777777" w:rsidTr="00ED3C61">
        <w:trPr>
          <w:tblCellSpacing w:w="15" w:type="dxa"/>
          <w:jc w:val="center"/>
        </w:trPr>
        <w:tc>
          <w:tcPr>
            <w:tcW w:w="2372" w:type="pct"/>
            <w:vAlign w:val="center"/>
          </w:tcPr>
          <w:p w14:paraId="1EF02C65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股票复权价格（Open/High/Low/Close）</w:t>
            </w:r>
          </w:p>
        </w:tc>
        <w:tc>
          <w:tcPr>
            <w:tcW w:w="682" w:type="pct"/>
            <w:vAlign w:val="center"/>
          </w:tcPr>
          <w:p w14:paraId="0A06A50D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Wind数据库</w:t>
            </w:r>
          </w:p>
        </w:tc>
        <w:tc>
          <w:tcPr>
            <w:tcW w:w="279" w:type="pct"/>
            <w:vAlign w:val="center"/>
          </w:tcPr>
          <w:p w14:paraId="01E7D5E7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日频</w:t>
            </w:r>
          </w:p>
        </w:tc>
        <w:tc>
          <w:tcPr>
            <w:tcW w:w="1577" w:type="pct"/>
            <w:vAlign w:val="center"/>
          </w:tcPr>
          <w:p w14:paraId="79A10F52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剔除停牌、ST股、金融股</w:t>
            </w:r>
          </w:p>
        </w:tc>
      </w:tr>
      <w:tr w:rsidR="00946019" w14:paraId="74A1541D" w14:textId="77777777" w:rsidTr="00ED3C61">
        <w:trPr>
          <w:tblCellSpacing w:w="15" w:type="dxa"/>
          <w:jc w:val="center"/>
        </w:trPr>
        <w:tc>
          <w:tcPr>
            <w:tcW w:w="2372" w:type="pct"/>
            <w:vAlign w:val="center"/>
          </w:tcPr>
          <w:p w14:paraId="31B8E50C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成交量（Volume）</w:t>
            </w:r>
          </w:p>
        </w:tc>
        <w:tc>
          <w:tcPr>
            <w:tcW w:w="682" w:type="pct"/>
            <w:vAlign w:val="center"/>
          </w:tcPr>
          <w:p w14:paraId="147E4380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Wind数据库</w:t>
            </w:r>
          </w:p>
        </w:tc>
        <w:tc>
          <w:tcPr>
            <w:tcW w:w="279" w:type="pct"/>
            <w:vAlign w:val="center"/>
          </w:tcPr>
          <w:p w14:paraId="0E43D965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日频</w:t>
            </w:r>
          </w:p>
        </w:tc>
        <w:tc>
          <w:tcPr>
            <w:tcW w:w="1577" w:type="pct"/>
            <w:vAlign w:val="center"/>
          </w:tcPr>
          <w:p w14:paraId="15B1B92B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使用后复权数据</w:t>
            </w:r>
          </w:p>
        </w:tc>
      </w:tr>
      <w:tr w:rsidR="00946019" w14:paraId="117E1B68" w14:textId="77777777" w:rsidTr="00ED3C61">
        <w:trPr>
          <w:tblCellSpacing w:w="15" w:type="dxa"/>
          <w:jc w:val="center"/>
        </w:trPr>
        <w:tc>
          <w:tcPr>
            <w:tcW w:w="2372" w:type="pct"/>
            <w:vAlign w:val="center"/>
          </w:tcPr>
          <w:p w14:paraId="353EDD1E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流通市值（Market Value）</w:t>
            </w:r>
          </w:p>
        </w:tc>
        <w:tc>
          <w:tcPr>
            <w:tcW w:w="682" w:type="pct"/>
            <w:vAlign w:val="center"/>
          </w:tcPr>
          <w:p w14:paraId="20C192B4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Wind数据库</w:t>
            </w:r>
          </w:p>
        </w:tc>
        <w:tc>
          <w:tcPr>
            <w:tcW w:w="279" w:type="pct"/>
            <w:vAlign w:val="center"/>
          </w:tcPr>
          <w:p w14:paraId="33125873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日频</w:t>
            </w:r>
          </w:p>
        </w:tc>
        <w:tc>
          <w:tcPr>
            <w:tcW w:w="1577" w:type="pct"/>
            <w:vAlign w:val="center"/>
          </w:tcPr>
          <w:p w14:paraId="6D5247DA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取月末值，用于市值中性化</w:t>
            </w:r>
          </w:p>
        </w:tc>
      </w:tr>
      <w:tr w:rsidR="00946019" w14:paraId="7BDCB323" w14:textId="77777777" w:rsidTr="00ED3C61">
        <w:trPr>
          <w:tblCellSpacing w:w="15" w:type="dxa"/>
          <w:jc w:val="center"/>
        </w:trPr>
        <w:tc>
          <w:tcPr>
            <w:tcW w:w="2372" w:type="pct"/>
            <w:vAlign w:val="center"/>
          </w:tcPr>
          <w:p w14:paraId="207A024E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行业分类（SW2021一级行业）</w:t>
            </w:r>
          </w:p>
        </w:tc>
        <w:tc>
          <w:tcPr>
            <w:tcW w:w="682" w:type="pct"/>
            <w:vAlign w:val="center"/>
          </w:tcPr>
          <w:p w14:paraId="6F3B28E0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Wind数据库</w:t>
            </w:r>
          </w:p>
        </w:tc>
        <w:tc>
          <w:tcPr>
            <w:tcW w:w="279" w:type="pct"/>
            <w:vAlign w:val="center"/>
          </w:tcPr>
          <w:p w14:paraId="24622FDB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日频</w:t>
            </w:r>
          </w:p>
        </w:tc>
        <w:tc>
          <w:tcPr>
            <w:tcW w:w="1577" w:type="pct"/>
            <w:vAlign w:val="center"/>
          </w:tcPr>
          <w:p w14:paraId="44C5F9C6" w14:textId="77777777" w:rsidR="0094601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每日更新，剔除行业缺失标的</w:t>
            </w:r>
          </w:p>
        </w:tc>
      </w:tr>
    </w:tbl>
    <w:p w14:paraId="7F3137EC" w14:textId="77777777" w:rsidR="00946019" w:rsidRDefault="00000000">
      <w:pPr>
        <w:widowControl/>
      </w:pPr>
      <w:r>
        <w:rPr>
          <w:sz w:val="24"/>
        </w:rPr>
        <w:pict w14:anchorId="765DD316">
          <v:rect id="_x0000_i1028" style="width:6in;height:1.5pt" o:hralign="center" o:hrstd="t" o:hr="t" fillcolor="#a0a0a0" stroked="f"/>
        </w:pict>
      </w:r>
    </w:p>
    <w:p w14:paraId="4ACDF5A5" w14:textId="77777777" w:rsidR="00946019" w:rsidRDefault="00000000">
      <w:pPr>
        <w:pStyle w:val="3"/>
        <w:widowControl/>
      </w:pPr>
      <w:r>
        <w:t>4. 计算流程</w:t>
      </w:r>
    </w:p>
    <w:p w14:paraId="7FEA6BDE" w14:textId="4B794972" w:rsidR="00946019" w:rsidRDefault="00824F3A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4"/>
          <w:rFonts w:hint="eastAsia"/>
        </w:rPr>
        <w:t>MA_n</w:t>
      </w:r>
      <w:r w:rsidR="00000000">
        <w:rPr>
          <w:rStyle w:val="a4"/>
        </w:rPr>
        <w:t>计算</w:t>
      </w:r>
      <w:r w:rsidR="00000000">
        <w:t>：每日基于复权价格计算</w:t>
      </w:r>
      <w:r>
        <w:rPr>
          <w:rFonts w:hint="eastAsia"/>
        </w:rPr>
        <w:t>不同窗口期计算不同时间的移动平均值</w:t>
      </w:r>
      <w:r w:rsidR="00000000">
        <w:t>。</w:t>
      </w:r>
      <w:r w:rsidR="00000000">
        <w:t xml:space="preserve"> </w:t>
      </w:r>
    </w:p>
    <w:p w14:paraId="69A2B559" w14:textId="742BC613" w:rsidR="00946019" w:rsidRDefault="00824F3A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4"/>
          <w:rFonts w:hint="eastAsia"/>
        </w:rPr>
        <w:t>ACF</w:t>
      </w:r>
      <w:r w:rsidR="00000000">
        <w:rPr>
          <w:rStyle w:val="a4"/>
        </w:rPr>
        <w:t>计算</w:t>
      </w:r>
      <w:r w:rsidR="00000000">
        <w:t>：</w:t>
      </w:r>
      <w:r>
        <w:rPr>
          <w:rFonts w:hint="eastAsia"/>
        </w:rPr>
        <w:t>在每一截面期就算不同</w:t>
      </w:r>
      <w:r>
        <w:rPr>
          <w:rFonts w:hint="eastAsia"/>
        </w:rPr>
        <w:t>MA</w:t>
      </w:r>
      <w:r>
        <w:rPr>
          <w:rFonts w:hint="eastAsia"/>
        </w:rPr>
        <w:t>的标准差，将标准差</w:t>
      </w:r>
      <w:r>
        <w:rPr>
          <w:rFonts w:hint="eastAsia"/>
        </w:rPr>
        <w:t>+1</w:t>
      </w:r>
      <w:r>
        <w:rPr>
          <w:rFonts w:hint="eastAsia"/>
        </w:rPr>
        <w:t>后取自然对数作为因子值</w:t>
      </w:r>
      <w:r w:rsidR="00000000">
        <w:t xml:space="preserve"> </w:t>
      </w:r>
    </w:p>
    <w:p w14:paraId="6361AD9C" w14:textId="77777777" w:rsidR="00946019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4"/>
        </w:rPr>
        <w:t>中性化处理</w:t>
      </w:r>
      <w:r>
        <w:t>：</w:t>
      </w:r>
      <w:r>
        <w:t xml:space="preserve"> </w:t>
      </w:r>
    </w:p>
    <w:p w14:paraId="2EEFBD50" w14:textId="2493BDE1" w:rsidR="00946019" w:rsidRDefault="00000000">
      <w:pPr>
        <w:widowControl/>
        <w:numPr>
          <w:ilvl w:val="1"/>
          <w:numId w:val="3"/>
        </w:numPr>
        <w:spacing w:beforeAutospacing="1" w:afterAutospacing="1"/>
      </w:pPr>
      <w:r>
        <w:rPr>
          <w:rStyle w:val="a4"/>
        </w:rPr>
        <w:t>市值中性化</w:t>
      </w:r>
      <w:r>
        <w:t>：对每只股票的</w:t>
      </w:r>
      <w:r w:rsidR="00824F3A">
        <w:rPr>
          <w:rFonts w:hint="eastAsia"/>
        </w:rPr>
        <w:t>ACF</w:t>
      </w:r>
      <w:r>
        <w:t>值进行线性回归，以流通市值为中性化变量，取残差。</w:t>
      </w:r>
      <w:r>
        <w:t xml:space="preserve"> </w:t>
      </w:r>
    </w:p>
    <w:p w14:paraId="3AC81CB9" w14:textId="77777777" w:rsidR="00946019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4"/>
        </w:rPr>
        <w:t>去极值与标准化</w:t>
      </w:r>
      <w:r>
        <w:t>：</w:t>
      </w:r>
      <w:r>
        <w:t xml:space="preserve"> </w:t>
      </w:r>
    </w:p>
    <w:p w14:paraId="3255A05E" w14:textId="77777777" w:rsidR="00946019" w:rsidRDefault="00000000">
      <w:pPr>
        <w:widowControl/>
        <w:numPr>
          <w:ilvl w:val="1"/>
          <w:numId w:val="4"/>
        </w:numPr>
        <w:spacing w:beforeAutospacing="1" w:afterAutospacing="1"/>
      </w:pPr>
      <w:r>
        <w:t>对横截面数据进行</w:t>
      </w:r>
      <w:r>
        <w:t>1%/99%</w:t>
      </w:r>
      <w:r>
        <w:t>分位数截断（</w:t>
      </w:r>
      <w:r>
        <w:t>Winsorize</w:t>
      </w:r>
      <w:r>
        <w:t>）；</w:t>
      </w:r>
      <w:r>
        <w:t xml:space="preserve"> </w:t>
      </w:r>
    </w:p>
    <w:p w14:paraId="6AF24F3B" w14:textId="77777777" w:rsidR="00946019" w:rsidRDefault="00000000">
      <w:pPr>
        <w:widowControl/>
        <w:numPr>
          <w:ilvl w:val="1"/>
          <w:numId w:val="4"/>
        </w:numPr>
        <w:spacing w:beforeAutospacing="1" w:afterAutospacing="1"/>
      </w:pPr>
      <w:r>
        <w:t>对每期</w:t>
      </w:r>
      <w:r>
        <w:t>APB</w:t>
      </w:r>
      <w:r>
        <w:t>值进行</w:t>
      </w:r>
      <w:r>
        <w:t>Z-score</w:t>
      </w:r>
      <w:r>
        <w:t>标准化（均值为</w:t>
      </w:r>
      <w:r>
        <w:t>0</w:t>
      </w:r>
      <w:r>
        <w:t>，标准差为</w:t>
      </w:r>
      <w:r>
        <w:t>1</w:t>
      </w:r>
      <w:r>
        <w:t>）。</w:t>
      </w:r>
    </w:p>
    <w:p w14:paraId="1150C6C4" w14:textId="77777777" w:rsidR="00946019" w:rsidRDefault="00000000">
      <w:pPr>
        <w:widowControl/>
      </w:pPr>
      <w:r>
        <w:pict w14:anchorId="68C0EECB">
          <v:rect id="_x0000_i1029" style="width:6in;height:1.5pt" o:hralign="center" o:hrstd="t" o:hr="t" fillcolor="#a0a0a0" stroked="f"/>
        </w:pict>
      </w:r>
    </w:p>
    <w:p w14:paraId="734561F2" w14:textId="77777777" w:rsidR="00946019" w:rsidRDefault="00000000">
      <w:pPr>
        <w:pStyle w:val="3"/>
        <w:widowControl/>
      </w:pPr>
      <w:r>
        <w:t>5. 因子检验</w:t>
      </w:r>
    </w:p>
    <w:p w14:paraId="270C11D3" w14:textId="77777777" w:rsidR="00946019" w:rsidRDefault="00000000">
      <w:pPr>
        <w:pStyle w:val="4"/>
        <w:widowControl/>
      </w:pPr>
      <w:r>
        <w:t xml:space="preserve">5.1 </w:t>
      </w:r>
      <w:proofErr w:type="gramStart"/>
      <w:r>
        <w:t>回测设置</w:t>
      </w:r>
      <w:proofErr w:type="gramEnd"/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110"/>
      </w:tblGrid>
      <w:tr w:rsidR="00946019" w14:paraId="11BEADB7" w14:textId="77777777" w:rsidTr="00ED3C61">
        <w:trPr>
          <w:tblHeader/>
          <w:tblCellSpacing w:w="15" w:type="dxa"/>
          <w:jc w:val="center"/>
        </w:trPr>
        <w:tc>
          <w:tcPr>
            <w:tcW w:w="1279" w:type="pct"/>
            <w:tcBorders>
              <w:top w:val="nil"/>
              <w:bottom w:val="single" w:sz="4" w:space="0" w:color="auto"/>
            </w:tcBorders>
            <w:vAlign w:val="center"/>
          </w:tcPr>
          <w:p w14:paraId="504E6EC9" w14:textId="77777777" w:rsidR="00946019" w:rsidRDefault="00000000" w:rsidP="00ED3C61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</w:t>
            </w:r>
          </w:p>
        </w:tc>
        <w:tc>
          <w:tcPr>
            <w:tcW w:w="3605" w:type="pct"/>
            <w:tcBorders>
              <w:top w:val="nil"/>
              <w:bottom w:val="single" w:sz="4" w:space="0" w:color="auto"/>
            </w:tcBorders>
            <w:vAlign w:val="center"/>
          </w:tcPr>
          <w:p w14:paraId="75B912C8" w14:textId="77777777" w:rsidR="00946019" w:rsidRDefault="00000000" w:rsidP="00ED3C61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值</w:t>
            </w:r>
          </w:p>
        </w:tc>
      </w:tr>
      <w:tr w:rsidR="00946019" w14:paraId="010EB0ED" w14:textId="77777777" w:rsidTr="00ED3C61">
        <w:trPr>
          <w:tblCellSpacing w:w="15" w:type="dxa"/>
          <w:jc w:val="center"/>
        </w:trPr>
        <w:tc>
          <w:tcPr>
            <w:tcW w:w="1279" w:type="pct"/>
            <w:vAlign w:val="center"/>
          </w:tcPr>
          <w:p w14:paraId="7C7CFACF" w14:textId="77777777" w:rsidR="00946019" w:rsidRDefault="00000000" w:rsidP="00ED3C61">
            <w:pPr>
              <w:widowControl/>
              <w:jc w:val="center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回测周期</w:t>
            </w:r>
            <w:proofErr w:type="gramEnd"/>
          </w:p>
        </w:tc>
        <w:tc>
          <w:tcPr>
            <w:tcW w:w="3605" w:type="pct"/>
            <w:vAlign w:val="center"/>
          </w:tcPr>
          <w:p w14:paraId="7842946D" w14:textId="2DFD20E7" w:rsidR="00946019" w:rsidRDefault="00000000" w:rsidP="00ED3C61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2019-01-01 ~ 202</w:t>
            </w:r>
            <w:r w:rsidR="00824F3A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5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-12-31</w:t>
            </w:r>
          </w:p>
        </w:tc>
      </w:tr>
      <w:tr w:rsidR="00946019" w14:paraId="56DB5A05" w14:textId="77777777" w:rsidTr="00ED3C61">
        <w:trPr>
          <w:tblCellSpacing w:w="15" w:type="dxa"/>
          <w:jc w:val="center"/>
        </w:trPr>
        <w:tc>
          <w:tcPr>
            <w:tcW w:w="1279" w:type="pct"/>
            <w:vAlign w:val="center"/>
          </w:tcPr>
          <w:p w14:paraId="6674D8E9" w14:textId="77777777" w:rsidR="00946019" w:rsidRDefault="00000000" w:rsidP="00ED3C61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股票池</w:t>
            </w:r>
          </w:p>
        </w:tc>
        <w:tc>
          <w:tcPr>
            <w:tcW w:w="3605" w:type="pct"/>
            <w:vAlign w:val="center"/>
          </w:tcPr>
          <w:p w14:paraId="5259C777" w14:textId="62E40134" w:rsidR="00946019" w:rsidRDefault="00000000" w:rsidP="00ED3C61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全A股（剔除ST）</w:t>
            </w:r>
          </w:p>
        </w:tc>
      </w:tr>
      <w:tr w:rsidR="00946019" w14:paraId="0F7475FF" w14:textId="77777777" w:rsidTr="00ED3C61">
        <w:trPr>
          <w:tblCellSpacing w:w="15" w:type="dxa"/>
          <w:jc w:val="center"/>
        </w:trPr>
        <w:tc>
          <w:tcPr>
            <w:tcW w:w="1279" w:type="pct"/>
            <w:vAlign w:val="center"/>
          </w:tcPr>
          <w:p w14:paraId="074D7019" w14:textId="77777777" w:rsidR="00946019" w:rsidRDefault="00000000" w:rsidP="00ED3C61">
            <w:pPr>
              <w:widowControl/>
              <w:jc w:val="center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调仓频率</w:t>
            </w:r>
            <w:proofErr w:type="gramEnd"/>
          </w:p>
        </w:tc>
        <w:tc>
          <w:tcPr>
            <w:tcW w:w="3605" w:type="pct"/>
            <w:vAlign w:val="center"/>
          </w:tcPr>
          <w:p w14:paraId="3CEA750D" w14:textId="77777777" w:rsidR="00946019" w:rsidRDefault="00000000" w:rsidP="00ED3C61">
            <w:pPr>
              <w:widowControl/>
              <w:jc w:val="center"/>
            </w:pPr>
            <w:r>
              <w:rPr>
                <w:rFonts w:hint="eastAsia"/>
              </w:rPr>
              <w:t>日频</w:t>
            </w:r>
          </w:p>
        </w:tc>
      </w:tr>
    </w:tbl>
    <w:p w14:paraId="497B3FD7" w14:textId="77777777" w:rsidR="00946019" w:rsidRDefault="00000000">
      <w:pPr>
        <w:pStyle w:val="4"/>
        <w:widowControl/>
      </w:pPr>
      <w:r>
        <w:t>5.2 绩效指标</w:t>
      </w:r>
    </w:p>
    <w:p w14:paraId="1985E3B6" w14:textId="77777777" w:rsidR="00946019" w:rsidRDefault="00000000">
      <w:r>
        <w:rPr>
          <w:rFonts w:hint="eastAsia"/>
        </w:rPr>
        <w:t>| index              | value   |</w:t>
      </w:r>
    </w:p>
    <w:p w14:paraId="2D6D7863" w14:textId="77777777" w:rsidR="00946019" w:rsidRDefault="00000000">
      <w:r>
        <w:rPr>
          <w:rFonts w:hint="eastAsia"/>
        </w:rPr>
        <w:t>|--------------------|---------|</w:t>
      </w:r>
    </w:p>
    <w:p w14:paraId="0CF8F844" w14:textId="3040B0F2" w:rsidR="00946019" w:rsidRDefault="00000000">
      <w:r>
        <w:rPr>
          <w:rFonts w:hint="eastAsia"/>
        </w:rPr>
        <w:t xml:space="preserve">| </w:t>
      </w:r>
      <w:r>
        <w:rPr>
          <w:rFonts w:hint="eastAsia"/>
        </w:rPr>
        <w:t>因子值覆盖率</w:t>
      </w:r>
      <w:r>
        <w:rPr>
          <w:rFonts w:hint="eastAsia"/>
        </w:rPr>
        <w:t xml:space="preserve">       | </w:t>
      </w:r>
      <w:r w:rsidR="00824F3A" w:rsidRPr="00824F3A">
        <w:t>96.23%</w:t>
      </w:r>
      <w:r>
        <w:rPr>
          <w:rFonts w:hint="eastAsia"/>
        </w:rPr>
        <w:t xml:space="preserve">  |</w:t>
      </w:r>
    </w:p>
    <w:p w14:paraId="171C1238" w14:textId="62D2CBB4" w:rsidR="00946019" w:rsidRDefault="00000000">
      <w:r>
        <w:rPr>
          <w:rFonts w:hint="eastAsia"/>
        </w:rPr>
        <w:t>| rank_ic</w:t>
      </w:r>
      <w:r>
        <w:rPr>
          <w:rFonts w:hint="eastAsia"/>
        </w:rPr>
        <w:t>均值</w:t>
      </w:r>
      <w:r>
        <w:rPr>
          <w:rFonts w:hint="eastAsia"/>
        </w:rPr>
        <w:t xml:space="preserve">        | </w:t>
      </w:r>
      <w:r w:rsidR="00824F3A">
        <w:rPr>
          <w:rFonts w:hint="eastAsia"/>
        </w:rPr>
        <w:t>3.77</w:t>
      </w:r>
      <w:r>
        <w:rPr>
          <w:rFonts w:hint="eastAsia"/>
        </w:rPr>
        <w:t>%   |</w:t>
      </w:r>
    </w:p>
    <w:p w14:paraId="38602C4B" w14:textId="1286E1D6" w:rsidR="00946019" w:rsidRDefault="00000000">
      <w:r>
        <w:rPr>
          <w:rFonts w:hint="eastAsia"/>
        </w:rPr>
        <w:t>| rank_ic_ir         | 0.3</w:t>
      </w:r>
      <w:r w:rsidR="00824F3A">
        <w:rPr>
          <w:rFonts w:hint="eastAsia"/>
        </w:rPr>
        <w:t>5</w:t>
      </w:r>
      <w:r>
        <w:rPr>
          <w:rFonts w:hint="eastAsia"/>
        </w:rPr>
        <w:t xml:space="preserve">    |</w:t>
      </w:r>
    </w:p>
    <w:p w14:paraId="7D89E564" w14:textId="45CF3ADB" w:rsidR="00946019" w:rsidRDefault="00000000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多空年化收益率</w:t>
      </w:r>
      <w:proofErr w:type="gramEnd"/>
      <w:r>
        <w:rPr>
          <w:rFonts w:hint="eastAsia"/>
        </w:rPr>
        <w:t xml:space="preserve">     | 1</w:t>
      </w:r>
      <w:r w:rsidR="00824F3A">
        <w:rPr>
          <w:rFonts w:hint="eastAsia"/>
        </w:rPr>
        <w:t>2</w:t>
      </w:r>
      <w:r>
        <w:rPr>
          <w:rFonts w:hint="eastAsia"/>
        </w:rPr>
        <w:t>.</w:t>
      </w:r>
      <w:r w:rsidR="00824F3A">
        <w:rPr>
          <w:rFonts w:hint="eastAsia"/>
        </w:rPr>
        <w:t>28</w:t>
      </w:r>
      <w:r>
        <w:rPr>
          <w:rFonts w:hint="eastAsia"/>
        </w:rPr>
        <w:t>%  |</w:t>
      </w:r>
    </w:p>
    <w:p w14:paraId="203515EE" w14:textId="72D97F9F" w:rsidR="00946019" w:rsidRDefault="00000000">
      <w:r>
        <w:rPr>
          <w:rFonts w:hint="eastAsia"/>
        </w:rPr>
        <w:lastRenderedPageBreak/>
        <w:t xml:space="preserve">| </w:t>
      </w:r>
      <w:proofErr w:type="gramStart"/>
      <w:r>
        <w:rPr>
          <w:rFonts w:hint="eastAsia"/>
        </w:rPr>
        <w:t>多空年化夏普</w:t>
      </w:r>
      <w:proofErr w:type="gramEnd"/>
      <w:r>
        <w:rPr>
          <w:rFonts w:hint="eastAsia"/>
        </w:rPr>
        <w:t>比率</w:t>
      </w:r>
      <w:r>
        <w:rPr>
          <w:rFonts w:hint="eastAsia"/>
        </w:rPr>
        <w:t xml:space="preserve">   | 2.</w:t>
      </w:r>
      <w:r w:rsidR="00824F3A">
        <w:rPr>
          <w:rFonts w:hint="eastAsia"/>
        </w:rPr>
        <w:t>39</w:t>
      </w:r>
      <w:r>
        <w:rPr>
          <w:rFonts w:hint="eastAsia"/>
        </w:rPr>
        <w:t xml:space="preserve">    |</w:t>
      </w:r>
    </w:p>
    <w:p w14:paraId="7FA0AE8F" w14:textId="2FD9349E" w:rsidR="00946019" w:rsidRDefault="00000000">
      <w:r>
        <w:rPr>
          <w:rFonts w:hint="eastAsia"/>
        </w:rPr>
        <w:t xml:space="preserve">| </w:t>
      </w:r>
      <w:r>
        <w:rPr>
          <w:rFonts w:hint="eastAsia"/>
        </w:rPr>
        <w:t>多空最大回撤</w:t>
      </w:r>
      <w:r>
        <w:rPr>
          <w:rFonts w:hint="eastAsia"/>
        </w:rPr>
        <w:t xml:space="preserve">       | -</w:t>
      </w:r>
      <w:r w:rsidR="00824F3A">
        <w:rPr>
          <w:rFonts w:hint="eastAsia"/>
        </w:rPr>
        <w:t>6</w:t>
      </w:r>
      <w:r>
        <w:rPr>
          <w:rFonts w:hint="eastAsia"/>
        </w:rPr>
        <w:t>.</w:t>
      </w:r>
      <w:r w:rsidR="00824F3A">
        <w:rPr>
          <w:rFonts w:hint="eastAsia"/>
        </w:rPr>
        <w:t>96</w:t>
      </w:r>
      <w:r>
        <w:rPr>
          <w:rFonts w:hint="eastAsia"/>
        </w:rPr>
        <w:t>%  |</w:t>
      </w:r>
    </w:p>
    <w:p w14:paraId="2F2B557A" w14:textId="0E16D9C4" w:rsidR="00946019" w:rsidRDefault="00000000">
      <w:r>
        <w:rPr>
          <w:rFonts w:hint="eastAsia"/>
        </w:rPr>
        <w:t xml:space="preserve">| </w:t>
      </w:r>
      <w:r>
        <w:rPr>
          <w:rFonts w:hint="eastAsia"/>
        </w:rPr>
        <w:t>多头</w:t>
      </w:r>
      <w:proofErr w:type="gramStart"/>
      <w:r>
        <w:rPr>
          <w:rFonts w:hint="eastAsia"/>
        </w:rPr>
        <w:t>组合年化换手</w:t>
      </w:r>
      <w:proofErr w:type="gramEnd"/>
      <w:r>
        <w:rPr>
          <w:rFonts w:hint="eastAsia"/>
        </w:rPr>
        <w:t>率</w:t>
      </w:r>
      <w:r>
        <w:rPr>
          <w:rFonts w:hint="eastAsia"/>
        </w:rPr>
        <w:t xml:space="preserve"> | 1</w:t>
      </w:r>
      <w:r w:rsidR="00824F3A">
        <w:rPr>
          <w:rFonts w:hint="eastAsia"/>
        </w:rPr>
        <w:t>9</w:t>
      </w:r>
      <w:r>
        <w:rPr>
          <w:rFonts w:hint="eastAsia"/>
        </w:rPr>
        <w:t>.</w:t>
      </w:r>
      <w:r w:rsidR="00824F3A">
        <w:rPr>
          <w:rFonts w:hint="eastAsia"/>
        </w:rPr>
        <w:t>3</w:t>
      </w:r>
      <w:r>
        <w:rPr>
          <w:rFonts w:hint="eastAsia"/>
        </w:rPr>
        <w:t>4   |</w:t>
      </w:r>
    </w:p>
    <w:p w14:paraId="5C04B747" w14:textId="3E080B2E" w:rsidR="00946019" w:rsidRDefault="00000000">
      <w:r>
        <w:rPr>
          <w:rFonts w:hint="eastAsia"/>
        </w:rPr>
        <w:t xml:space="preserve">| </w:t>
      </w:r>
      <w:r>
        <w:rPr>
          <w:rFonts w:hint="eastAsia"/>
        </w:rPr>
        <w:t>多头年化超额收益率</w:t>
      </w:r>
      <w:r>
        <w:rPr>
          <w:rFonts w:hint="eastAsia"/>
        </w:rPr>
        <w:t xml:space="preserve"> | 1</w:t>
      </w:r>
      <w:r w:rsidR="00824F3A">
        <w:rPr>
          <w:rFonts w:hint="eastAsia"/>
        </w:rPr>
        <w:t>4</w:t>
      </w:r>
      <w:r>
        <w:rPr>
          <w:rFonts w:hint="eastAsia"/>
        </w:rPr>
        <w:t>.5</w:t>
      </w:r>
      <w:r w:rsidR="00824F3A">
        <w:rPr>
          <w:rFonts w:hint="eastAsia"/>
        </w:rPr>
        <w:t>3</w:t>
      </w:r>
      <w:r>
        <w:rPr>
          <w:rFonts w:hint="eastAsia"/>
        </w:rPr>
        <w:t>%  |</w:t>
      </w:r>
    </w:p>
    <w:p w14:paraId="24640B42" w14:textId="377BECB5" w:rsidR="00946019" w:rsidRDefault="00000000">
      <w:r>
        <w:rPr>
          <w:rFonts w:hint="eastAsia"/>
        </w:rPr>
        <w:t xml:space="preserve">| </w:t>
      </w:r>
      <w:r>
        <w:rPr>
          <w:rFonts w:hint="eastAsia"/>
        </w:rPr>
        <w:t>信息比率</w:t>
      </w:r>
      <w:r>
        <w:rPr>
          <w:rFonts w:hint="eastAsia"/>
        </w:rPr>
        <w:t xml:space="preserve">           | 0.6</w:t>
      </w:r>
      <w:r w:rsidR="00824F3A">
        <w:rPr>
          <w:rFonts w:hint="eastAsia"/>
        </w:rPr>
        <w:t>9</w:t>
      </w:r>
      <w:r>
        <w:rPr>
          <w:rFonts w:hint="eastAsia"/>
        </w:rPr>
        <w:t xml:space="preserve">    |</w:t>
      </w:r>
    </w:p>
    <w:p w14:paraId="1C7414C5" w14:textId="485886EF" w:rsidR="00946019" w:rsidRDefault="00000000">
      <w:r>
        <w:rPr>
          <w:rFonts w:hint="eastAsia"/>
        </w:rPr>
        <w:t xml:space="preserve">| </w:t>
      </w:r>
      <w:r>
        <w:rPr>
          <w:rFonts w:hint="eastAsia"/>
        </w:rPr>
        <w:t>跟踪误差</w:t>
      </w:r>
      <w:r>
        <w:rPr>
          <w:rFonts w:hint="eastAsia"/>
        </w:rPr>
        <w:t xml:space="preserve">           | </w:t>
      </w:r>
      <w:r w:rsidR="00824F3A">
        <w:rPr>
          <w:rFonts w:hint="eastAsia"/>
        </w:rPr>
        <w:t>21</w:t>
      </w:r>
      <w:r>
        <w:rPr>
          <w:rFonts w:hint="eastAsia"/>
        </w:rPr>
        <w:t>.</w:t>
      </w:r>
      <w:r w:rsidR="00824F3A">
        <w:rPr>
          <w:rFonts w:hint="eastAsia"/>
        </w:rPr>
        <w:t>2</w:t>
      </w:r>
      <w:r>
        <w:rPr>
          <w:rFonts w:hint="eastAsia"/>
        </w:rPr>
        <w:t>1%  |</w:t>
      </w:r>
    </w:p>
    <w:p w14:paraId="3BAB740A" w14:textId="3010B62F" w:rsidR="00946019" w:rsidRDefault="00000000">
      <w:r>
        <w:rPr>
          <w:rFonts w:hint="eastAsia"/>
        </w:rPr>
        <w:t xml:space="preserve">| </w:t>
      </w:r>
      <w:r>
        <w:rPr>
          <w:rFonts w:hint="eastAsia"/>
        </w:rPr>
        <w:t>超额收益最大回撤</w:t>
      </w:r>
      <w:r>
        <w:rPr>
          <w:rFonts w:hint="eastAsia"/>
        </w:rPr>
        <w:t xml:space="preserve">   | -</w:t>
      </w:r>
      <w:r w:rsidR="00824F3A">
        <w:rPr>
          <w:rFonts w:hint="eastAsia"/>
        </w:rPr>
        <w:t>36</w:t>
      </w:r>
      <w:r>
        <w:rPr>
          <w:rFonts w:hint="eastAsia"/>
        </w:rPr>
        <w:t>.</w:t>
      </w:r>
      <w:r w:rsidR="00824F3A">
        <w:rPr>
          <w:rFonts w:hint="eastAsia"/>
        </w:rPr>
        <w:t>12</w:t>
      </w:r>
      <w:r>
        <w:rPr>
          <w:rFonts w:hint="eastAsia"/>
        </w:rPr>
        <w:t>% |</w:t>
      </w:r>
    </w:p>
    <w:p w14:paraId="3E28E808" w14:textId="77777777" w:rsidR="00946019" w:rsidRDefault="00000000">
      <w:pPr>
        <w:pStyle w:val="4"/>
        <w:widowControl/>
      </w:pPr>
      <w:r>
        <w:t>5.3 可视化附件</w:t>
      </w:r>
    </w:p>
    <w:p w14:paraId="46C27324" w14:textId="77777777" w:rsidR="00946019" w:rsidRDefault="00000000">
      <w:pPr>
        <w:widowControl/>
        <w:numPr>
          <w:ilvl w:val="0"/>
          <w:numId w:val="5"/>
        </w:numPr>
        <w:spacing w:beforeAutospacing="1" w:afterAutospacing="1"/>
      </w:pPr>
      <w:r>
        <w:t>因子分组净值曲线图（五组等分）</w:t>
      </w:r>
      <w:r>
        <w:t xml:space="preserve"> </w:t>
      </w:r>
    </w:p>
    <w:p w14:paraId="1B2606BE" w14:textId="77777777" w:rsidR="00946019" w:rsidRDefault="00000000">
      <w:pPr>
        <w:widowControl/>
        <w:numPr>
          <w:ilvl w:val="0"/>
          <w:numId w:val="5"/>
        </w:numPr>
        <w:spacing w:beforeAutospacing="1" w:afterAutospacing="1"/>
      </w:pPr>
      <w:r>
        <w:t>IC</w:t>
      </w:r>
      <w:r>
        <w:t>时间序列图及滚动</w:t>
      </w:r>
      <w:r>
        <w:t>IR</w:t>
      </w:r>
      <w:r>
        <w:t>指标</w:t>
      </w:r>
    </w:p>
    <w:p w14:paraId="4E584491" w14:textId="77777777" w:rsidR="00946019" w:rsidRDefault="00000000">
      <w:pPr>
        <w:widowControl/>
      </w:pPr>
      <w:r>
        <w:pict w14:anchorId="21DEE2E4">
          <v:rect id="_x0000_i1030" style="width:6in;height:1.5pt" o:hralign="center" o:hrstd="t" o:hr="t" fillcolor="#a0a0a0" stroked="f"/>
        </w:pict>
      </w:r>
    </w:p>
    <w:p w14:paraId="6D954694" w14:textId="77777777" w:rsidR="00946019" w:rsidRDefault="00000000">
      <w:pPr>
        <w:pStyle w:val="3"/>
        <w:widowControl/>
      </w:pPr>
      <w:r>
        <w:t>6. 因子分析</w:t>
      </w:r>
    </w:p>
    <w:p w14:paraId="086A8727" w14:textId="77777777" w:rsidR="00946019" w:rsidRDefault="00000000">
      <w:pPr>
        <w:pStyle w:val="4"/>
        <w:widowControl/>
      </w:pPr>
      <w:r>
        <w:t>6.1 优点</w:t>
      </w:r>
    </w:p>
    <w:p w14:paraId="0396D153" w14:textId="57C544F1" w:rsidR="00946019" w:rsidRDefault="00824F3A">
      <w:pPr>
        <w:widowControl/>
        <w:numPr>
          <w:ilvl w:val="0"/>
          <w:numId w:val="6"/>
        </w:numPr>
        <w:spacing w:beforeAutospacing="1" w:afterAutospacing="1"/>
      </w:pPr>
      <w:r>
        <w:rPr>
          <w:rStyle w:val="a4"/>
          <w:rFonts w:hint="eastAsia"/>
        </w:rPr>
        <w:t>因子长期</w:t>
      </w:r>
      <w:r w:rsidR="00000000">
        <w:rPr>
          <w:rStyle w:val="a4"/>
        </w:rPr>
        <w:t>有效性</w:t>
      </w:r>
      <w:r w:rsidR="00000000">
        <w:t>：</w:t>
      </w:r>
      <w:r>
        <w:rPr>
          <w:rFonts w:hint="eastAsia"/>
        </w:rPr>
        <w:t>在</w:t>
      </w:r>
      <w:proofErr w:type="gramStart"/>
      <w:r>
        <w:rPr>
          <w:rFonts w:hint="eastAsia"/>
        </w:rPr>
        <w:t>整个回测区间</w:t>
      </w:r>
      <w:proofErr w:type="gramEnd"/>
      <w:r>
        <w:rPr>
          <w:rFonts w:hint="eastAsia"/>
        </w:rPr>
        <w:t>因子</w:t>
      </w:r>
      <w:r>
        <w:rPr>
          <w:rFonts w:hint="eastAsia"/>
        </w:rPr>
        <w:t>IC</w:t>
      </w:r>
      <w:r>
        <w:rPr>
          <w:rFonts w:hint="eastAsia"/>
        </w:rPr>
        <w:t>情况表现较为稳定，在熊市</w:t>
      </w:r>
      <w:r>
        <w:rPr>
          <w:rFonts w:hint="eastAsia"/>
        </w:rPr>
        <w:t>/</w:t>
      </w:r>
      <w:r>
        <w:rPr>
          <w:rFonts w:hint="eastAsia"/>
        </w:rPr>
        <w:t>震荡</w:t>
      </w:r>
      <w:proofErr w:type="gramStart"/>
      <w:r>
        <w:rPr>
          <w:rFonts w:hint="eastAsia"/>
        </w:rPr>
        <w:t>市时期</w:t>
      </w:r>
      <w:proofErr w:type="gramEnd"/>
      <w:r>
        <w:rPr>
          <w:rFonts w:hint="eastAsia"/>
        </w:rPr>
        <w:t>表现较为突出，单边市情况表现有所欠缺。</w:t>
      </w:r>
      <w:proofErr w:type="gramStart"/>
      <w:r>
        <w:rPr>
          <w:rFonts w:hint="eastAsia"/>
        </w:rPr>
        <w:t>纯多头端</w:t>
      </w:r>
      <w:proofErr w:type="gramEnd"/>
      <w:r>
        <w:rPr>
          <w:rFonts w:hint="eastAsia"/>
        </w:rPr>
        <w:t>也有不俗的收益表现。</w:t>
      </w:r>
    </w:p>
    <w:p w14:paraId="5F7BD716" w14:textId="77777777" w:rsidR="00946019" w:rsidRDefault="00000000">
      <w:pPr>
        <w:widowControl/>
        <w:numPr>
          <w:ilvl w:val="0"/>
          <w:numId w:val="6"/>
        </w:numPr>
        <w:spacing w:beforeAutospacing="1" w:afterAutospacing="1"/>
      </w:pPr>
      <w:r>
        <w:rPr>
          <w:rStyle w:val="a4"/>
        </w:rPr>
        <w:t>低相关性</w:t>
      </w:r>
      <w:r>
        <w:t>：与估值、成长、流动性等传统因子相关性较低，可作为多因子模型补充。</w:t>
      </w:r>
      <w:r>
        <w:t xml:space="preserve"> </w:t>
      </w:r>
    </w:p>
    <w:p w14:paraId="30C7A969" w14:textId="77777777" w:rsidR="00946019" w:rsidRDefault="00000000">
      <w:pPr>
        <w:pStyle w:val="4"/>
        <w:widowControl/>
      </w:pPr>
      <w:r>
        <w:t>6.2 缺点</w:t>
      </w:r>
    </w:p>
    <w:p w14:paraId="2695C3A1" w14:textId="7CF17F92" w:rsidR="00946019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依赖历史模式</w:t>
      </w:r>
      <w:r>
        <w:t>：</w:t>
      </w:r>
      <w:r w:rsidR="00824F3A">
        <w:rPr>
          <w:rFonts w:hint="eastAsia"/>
        </w:rPr>
        <w:t>与市场走势强相关，</w:t>
      </w:r>
      <w:r w:rsidR="00824F3A">
        <w:rPr>
          <w:rFonts w:hint="eastAsia"/>
        </w:rPr>
        <w:t>beta</w:t>
      </w:r>
      <w:r w:rsidR="00824F3A">
        <w:rPr>
          <w:rFonts w:hint="eastAsia"/>
        </w:rPr>
        <w:t>较高，单边市情况下表现欠佳。</w:t>
      </w:r>
      <w:r>
        <w:t xml:space="preserve"> </w:t>
      </w:r>
    </w:p>
    <w:p w14:paraId="428D96DA" w14:textId="374C94E2" w:rsidR="00946019" w:rsidRPr="00824F3A" w:rsidRDefault="00824F3A">
      <w:pPr>
        <w:widowControl/>
        <w:numPr>
          <w:ilvl w:val="0"/>
          <w:numId w:val="7"/>
        </w:numPr>
        <w:spacing w:beforeAutospacing="1" w:afterAutospacing="1"/>
        <w:rPr>
          <w:rStyle w:val="a4"/>
          <w:b w:val="0"/>
        </w:rPr>
      </w:pPr>
      <w:r>
        <w:rPr>
          <w:rStyle w:val="a4"/>
          <w:rFonts w:hint="eastAsia"/>
        </w:rPr>
        <w:t>回撤：</w:t>
      </w:r>
      <w:proofErr w:type="gramStart"/>
      <w:r>
        <w:rPr>
          <w:rStyle w:val="a4"/>
          <w:rFonts w:hint="eastAsia"/>
        </w:rPr>
        <w:t>纯多最大</w:t>
      </w:r>
      <w:proofErr w:type="gramEnd"/>
      <w:r>
        <w:rPr>
          <w:rStyle w:val="a4"/>
          <w:rFonts w:hint="eastAsia"/>
        </w:rPr>
        <w:t>回撤较为明显。</w:t>
      </w:r>
    </w:p>
    <w:p w14:paraId="49674D5A" w14:textId="548FF3BA" w:rsidR="00824F3A" w:rsidRDefault="00824F3A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  <w:rFonts w:hint="eastAsia"/>
        </w:rPr>
        <w:t>换手：</w:t>
      </w:r>
      <w:proofErr w:type="gramStart"/>
      <w:r>
        <w:rPr>
          <w:rStyle w:val="a4"/>
          <w:rFonts w:hint="eastAsia"/>
        </w:rPr>
        <w:t>日度调仓口</w:t>
      </w:r>
      <w:proofErr w:type="gramEnd"/>
      <w:r>
        <w:rPr>
          <w:rStyle w:val="a4"/>
          <w:rFonts w:hint="eastAsia"/>
        </w:rPr>
        <w:t>径下，换手率较高，信号频繁变更，可能需考虑加入信号的平滑减小无效信号导致的换手。</w:t>
      </w:r>
    </w:p>
    <w:p w14:paraId="78E3F419" w14:textId="77777777" w:rsidR="00946019" w:rsidRDefault="00000000">
      <w:pPr>
        <w:pStyle w:val="4"/>
        <w:widowControl/>
      </w:pPr>
      <w:r>
        <w:t>6.3 失效场景</w:t>
      </w:r>
    </w:p>
    <w:p w14:paraId="63380DCC" w14:textId="77CE9118" w:rsidR="00946019" w:rsidRDefault="00000000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>极端</w:t>
      </w:r>
      <w:r w:rsidR="00824F3A">
        <w:rPr>
          <w:rStyle w:val="a4"/>
          <w:rFonts w:hint="eastAsia"/>
        </w:rPr>
        <w:t>单边市</w:t>
      </w:r>
      <w:r>
        <w:t>：</w:t>
      </w:r>
      <w:r w:rsidR="00824F3A">
        <w:rPr>
          <w:rFonts w:hint="eastAsia"/>
        </w:rPr>
        <w:t>单边上涨与单边下跌</w:t>
      </w:r>
      <w:r>
        <w:t xml:space="preserve"> </w:t>
      </w:r>
    </w:p>
    <w:p w14:paraId="0D52EFB6" w14:textId="77777777" w:rsidR="00946019" w:rsidRDefault="00000000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>政策干预期</w:t>
      </w:r>
      <w:r>
        <w:t>：行政手段改变市场自然交易行为，破坏因子逻辑基础。</w:t>
      </w:r>
    </w:p>
    <w:p w14:paraId="1E338B16" w14:textId="77777777" w:rsidR="00946019" w:rsidRDefault="00000000">
      <w:pPr>
        <w:widowControl/>
      </w:pPr>
      <w:r>
        <w:pict w14:anchorId="52A08910">
          <v:rect id="_x0000_i1031" style="width:6in;height:1.5pt" o:hralign="center" o:hrstd="t" o:hr="t" fillcolor="#a0a0a0" stroked="f"/>
        </w:pict>
      </w:r>
    </w:p>
    <w:p w14:paraId="5585F4F9" w14:textId="77777777" w:rsidR="00946019" w:rsidRDefault="00000000">
      <w:pPr>
        <w:pStyle w:val="3"/>
        <w:widowControl/>
      </w:pPr>
      <w:r>
        <w:t>7. 版本变更记录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637"/>
        <w:gridCol w:w="1637"/>
        <w:gridCol w:w="4317"/>
      </w:tblGrid>
      <w:tr w:rsidR="00946019" w14:paraId="324633BE" w14:textId="77777777" w:rsidTr="00ED3C61">
        <w:trPr>
          <w:tblHeader/>
          <w:tblCellSpacing w:w="15" w:type="dxa"/>
          <w:jc w:val="center"/>
        </w:trPr>
        <w:tc>
          <w:tcPr>
            <w:tcW w:w="401" w:type="pct"/>
            <w:tcBorders>
              <w:top w:val="nil"/>
              <w:bottom w:val="single" w:sz="4" w:space="0" w:color="auto"/>
            </w:tcBorders>
            <w:vAlign w:val="center"/>
          </w:tcPr>
          <w:p w14:paraId="471BD277" w14:textId="77777777" w:rsidR="00946019" w:rsidRDefault="00000000" w:rsidP="00824F3A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版本</w:t>
            </w:r>
          </w:p>
        </w:tc>
        <w:tc>
          <w:tcPr>
            <w:tcW w:w="962" w:type="pct"/>
            <w:tcBorders>
              <w:top w:val="nil"/>
              <w:bottom w:val="single" w:sz="4" w:space="0" w:color="auto"/>
            </w:tcBorders>
            <w:vAlign w:val="center"/>
          </w:tcPr>
          <w:p w14:paraId="51243116" w14:textId="77777777" w:rsidR="00946019" w:rsidRDefault="00000000" w:rsidP="00824F3A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日期</w:t>
            </w:r>
          </w:p>
        </w:tc>
        <w:tc>
          <w:tcPr>
            <w:tcW w:w="962" w:type="pct"/>
            <w:tcBorders>
              <w:top w:val="nil"/>
              <w:bottom w:val="single" w:sz="4" w:space="0" w:color="auto"/>
            </w:tcBorders>
            <w:vAlign w:val="center"/>
          </w:tcPr>
          <w:p w14:paraId="6182F2ED" w14:textId="77777777" w:rsidR="00946019" w:rsidRDefault="00000000" w:rsidP="00824F3A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修改内容</w:t>
            </w:r>
          </w:p>
        </w:tc>
        <w:tc>
          <w:tcPr>
            <w:tcW w:w="2558" w:type="pct"/>
            <w:tcBorders>
              <w:top w:val="nil"/>
              <w:bottom w:val="single" w:sz="4" w:space="0" w:color="auto"/>
            </w:tcBorders>
            <w:vAlign w:val="center"/>
          </w:tcPr>
          <w:p w14:paraId="350D5401" w14:textId="77777777" w:rsidR="00946019" w:rsidRDefault="00000000" w:rsidP="00824F3A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修改人</w:t>
            </w:r>
          </w:p>
        </w:tc>
      </w:tr>
      <w:tr w:rsidR="00946019" w14:paraId="092AC9B9" w14:textId="77777777" w:rsidTr="00ED3C61">
        <w:trPr>
          <w:tblCellSpacing w:w="15" w:type="dxa"/>
          <w:jc w:val="center"/>
        </w:trPr>
        <w:tc>
          <w:tcPr>
            <w:tcW w:w="401" w:type="pct"/>
            <w:vAlign w:val="center"/>
          </w:tcPr>
          <w:p w14:paraId="197FAF86" w14:textId="77777777" w:rsidR="00946019" w:rsidRDefault="00000000" w:rsidP="00824F3A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v1.0</w:t>
            </w:r>
          </w:p>
        </w:tc>
        <w:tc>
          <w:tcPr>
            <w:tcW w:w="962" w:type="pct"/>
            <w:vAlign w:val="center"/>
          </w:tcPr>
          <w:p w14:paraId="59D68EF6" w14:textId="3B321F46" w:rsidR="00946019" w:rsidRDefault="00000000" w:rsidP="00824F3A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202</w:t>
            </w:r>
            <w:r w:rsidR="00824F3A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6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-0</w:t>
            </w:r>
            <w:r w:rsidR="00824F3A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-06</w:t>
            </w:r>
          </w:p>
        </w:tc>
        <w:tc>
          <w:tcPr>
            <w:tcW w:w="962" w:type="pct"/>
            <w:vAlign w:val="center"/>
          </w:tcPr>
          <w:p w14:paraId="30CA8FD8" w14:textId="146456F2" w:rsidR="00946019" w:rsidRDefault="00ED3C61" w:rsidP="00824F3A">
            <w:pPr>
              <w:widowControl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因子计算逻辑，表现等</w:t>
            </w:r>
          </w:p>
        </w:tc>
        <w:tc>
          <w:tcPr>
            <w:tcW w:w="2558" w:type="pct"/>
            <w:vAlign w:val="center"/>
          </w:tcPr>
          <w:p w14:paraId="453DB871" w14:textId="6A7B39C6" w:rsidR="00946019" w:rsidRDefault="00824F3A" w:rsidP="00824F3A">
            <w:pPr>
              <w:widowControl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杨竣</w:t>
            </w:r>
            <w:proofErr w:type="gramStart"/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凯</w:t>
            </w:r>
            <w:proofErr w:type="gramEnd"/>
          </w:p>
        </w:tc>
      </w:tr>
    </w:tbl>
    <w:p w14:paraId="0DDE55A4" w14:textId="77777777" w:rsidR="00946019" w:rsidRDefault="00000000">
      <w:pPr>
        <w:widowControl/>
      </w:pPr>
      <w:r>
        <w:rPr>
          <w:sz w:val="24"/>
        </w:rPr>
        <w:pict w14:anchorId="722BE90B">
          <v:rect id="_x0000_i1032" style="width:6in;height:1.5pt" o:hralign="center" o:hrstd="t" o:hr="t" fillcolor="#a0a0a0" stroked="f"/>
        </w:pict>
      </w:r>
    </w:p>
    <w:p w14:paraId="0ECC0E99" w14:textId="77777777" w:rsidR="00946019" w:rsidRDefault="00000000">
      <w:pPr>
        <w:pStyle w:val="3"/>
        <w:widowControl/>
      </w:pPr>
      <w:r>
        <w:lastRenderedPageBreak/>
        <w:t>8. 附件清单</w:t>
      </w:r>
    </w:p>
    <w:p w14:paraId="7C8CA5C7" w14:textId="6A4FD714" w:rsidR="00946019" w:rsidRDefault="00000000">
      <w:pPr>
        <w:widowControl/>
        <w:numPr>
          <w:ilvl w:val="0"/>
          <w:numId w:val="9"/>
        </w:numPr>
        <w:spacing w:beforeAutospacing="1" w:afterAutospacing="1"/>
      </w:pPr>
      <w:r>
        <w:rPr>
          <w:rStyle w:val="a4"/>
        </w:rPr>
        <w:t>因子计算代码</w:t>
      </w:r>
      <w:r>
        <w:t>：</w:t>
      </w:r>
      <w:r>
        <w:rPr>
          <w:rStyle w:val="HTML0"/>
        </w:rPr>
        <w:t>factor_a</w:t>
      </w:r>
      <w:r w:rsidR="00824F3A">
        <w:rPr>
          <w:rStyle w:val="HTML0"/>
          <w:rFonts w:hint="eastAsia"/>
        </w:rPr>
        <w:t>cf</w:t>
      </w:r>
      <w:r>
        <w:rPr>
          <w:rStyle w:val="HTML0"/>
        </w:rPr>
        <w:t>_25d.py</w:t>
      </w:r>
      <w:r>
        <w:t>（基于</w:t>
      </w:r>
      <w:r>
        <w:t>Pandas</w:t>
      </w:r>
      <w:r>
        <w:t>实现，含中性化与标准化逻辑）</w:t>
      </w:r>
      <w:r>
        <w:t xml:space="preserve"> </w:t>
      </w:r>
    </w:p>
    <w:p w14:paraId="6BDD2509" w14:textId="25E571CE" w:rsidR="00946019" w:rsidRDefault="00000000">
      <w:pPr>
        <w:widowControl/>
        <w:numPr>
          <w:ilvl w:val="0"/>
          <w:numId w:val="9"/>
        </w:numPr>
        <w:spacing w:beforeAutospacing="1" w:afterAutospacing="1"/>
      </w:pPr>
      <w:proofErr w:type="gramStart"/>
      <w:r>
        <w:rPr>
          <w:rStyle w:val="a4"/>
        </w:rPr>
        <w:t>因子回测文件</w:t>
      </w:r>
      <w:proofErr w:type="gramEnd"/>
      <w:r>
        <w:t>：</w:t>
      </w:r>
      <w:r>
        <w:rPr>
          <w:rStyle w:val="HTML0"/>
        </w:rPr>
        <w:t>a</w:t>
      </w:r>
      <w:r w:rsidR="00824F3A">
        <w:rPr>
          <w:rStyle w:val="HTML0"/>
          <w:rFonts w:hint="eastAsia"/>
        </w:rPr>
        <w:t>cf</w:t>
      </w:r>
      <w:r>
        <w:rPr>
          <w:rStyle w:val="HTML0"/>
        </w:rPr>
        <w:t>_25d_backtest_result.xlsx</w:t>
      </w:r>
      <w:r>
        <w:t>（含净值曲线、</w:t>
      </w:r>
      <w:r>
        <w:t>IC</w:t>
      </w:r>
      <w:r>
        <w:t>序列、分组收益表）</w:t>
      </w:r>
      <w:r>
        <w:t xml:space="preserve"> </w:t>
      </w:r>
    </w:p>
    <w:p w14:paraId="29ACED11" w14:textId="77777777" w:rsidR="00946019" w:rsidRDefault="00000000">
      <w:pPr>
        <w:widowControl/>
        <w:numPr>
          <w:ilvl w:val="0"/>
          <w:numId w:val="9"/>
        </w:numPr>
        <w:spacing w:beforeAutospacing="1" w:afterAutospacing="1"/>
      </w:pPr>
      <w:r>
        <w:rPr>
          <w:rStyle w:val="a4"/>
        </w:rPr>
        <w:t>代码依赖库</w:t>
      </w:r>
      <w:r>
        <w:t>：</w:t>
      </w:r>
      <w:r>
        <w:rPr>
          <w:rStyle w:val="HTML0"/>
        </w:rPr>
        <w:t>requirements.txt</w:t>
      </w:r>
      <w:r>
        <w:t>（含</w:t>
      </w:r>
      <w:r>
        <w:rPr>
          <w:rStyle w:val="HTML0"/>
        </w:rPr>
        <w:t>pandas</w:t>
      </w:r>
      <w:r>
        <w:t xml:space="preserve">, </w:t>
      </w:r>
      <w:r>
        <w:rPr>
          <w:rStyle w:val="HTML0"/>
        </w:rPr>
        <w:t>statsmodels</w:t>
      </w:r>
      <w:r>
        <w:t xml:space="preserve">, </w:t>
      </w:r>
      <w:r>
        <w:rPr>
          <w:rStyle w:val="HTML0"/>
        </w:rPr>
        <w:t>polars</w:t>
      </w:r>
      <w:r>
        <w:t>等）</w:t>
      </w:r>
    </w:p>
    <w:p w14:paraId="1096AAFD" w14:textId="77777777" w:rsidR="00946019" w:rsidRDefault="00000000">
      <w:pPr>
        <w:widowControl/>
      </w:pPr>
      <w:r>
        <w:pict w14:anchorId="6A6D35AA">
          <v:rect id="_x0000_i1033" style="width:6in;height:1.5pt" o:hralign="center" o:hrstd="t" o:hr="t" fillcolor="#a0a0a0" stroked="f"/>
        </w:pict>
      </w:r>
    </w:p>
    <w:p w14:paraId="2AF5AD5B" w14:textId="77777777" w:rsidR="00946019" w:rsidRDefault="00000000">
      <w:pPr>
        <w:pStyle w:val="a3"/>
        <w:widowControl/>
      </w:pPr>
      <w:r>
        <w:rPr>
          <w:rStyle w:val="a4"/>
        </w:rPr>
        <w:t>注</w:t>
      </w:r>
      <w:r>
        <w:t>：本因子需持续监控极端市场环境下的表现，并建议与其他风格因子（如动量、质量）组合使用以增强稳健性。</w:t>
      </w:r>
    </w:p>
    <w:p w14:paraId="7A83E73A" w14:textId="77777777" w:rsidR="00946019" w:rsidRDefault="00946019">
      <w:pPr>
        <w:widowControl/>
        <w:jc w:val="left"/>
      </w:pPr>
    </w:p>
    <w:p w14:paraId="6C58AA57" w14:textId="77777777" w:rsidR="00946019" w:rsidRDefault="00946019"/>
    <w:sectPr w:rsidR="009460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A5504D"/>
    <w:multiLevelType w:val="multilevel"/>
    <w:tmpl w:val="A1A550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2696AD6"/>
    <w:multiLevelType w:val="multilevel"/>
    <w:tmpl w:val="A2696A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92D7D1D"/>
    <w:multiLevelType w:val="multilevel"/>
    <w:tmpl w:val="C92D7D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A7D41E2"/>
    <w:multiLevelType w:val="multilevel"/>
    <w:tmpl w:val="DA7D41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A1B56FA"/>
    <w:multiLevelType w:val="multilevel"/>
    <w:tmpl w:val="0A1B56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187B82B"/>
    <w:multiLevelType w:val="multilevel"/>
    <w:tmpl w:val="1187B8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DE8CE6A"/>
    <w:multiLevelType w:val="multilevel"/>
    <w:tmpl w:val="6DE8CE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21E631B"/>
    <w:multiLevelType w:val="multilevel"/>
    <w:tmpl w:val="721E63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835298838">
    <w:abstractNumId w:val="4"/>
  </w:num>
  <w:num w:numId="2" w16cid:durableId="424545191">
    <w:abstractNumId w:val="7"/>
  </w:num>
  <w:num w:numId="3" w16cid:durableId="19084962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029659">
    <w:abstractNumId w:val="5"/>
  </w:num>
  <w:num w:numId="5" w16cid:durableId="1691099972">
    <w:abstractNumId w:val="2"/>
  </w:num>
  <w:num w:numId="6" w16cid:durableId="1001815933">
    <w:abstractNumId w:val="3"/>
  </w:num>
  <w:num w:numId="7" w16cid:durableId="210852147">
    <w:abstractNumId w:val="6"/>
  </w:num>
  <w:num w:numId="8" w16cid:durableId="749733470">
    <w:abstractNumId w:val="0"/>
  </w:num>
  <w:num w:numId="9" w16cid:durableId="1886090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75"/>
    <w:rsid w:val="00197B75"/>
    <w:rsid w:val="003068BE"/>
    <w:rsid w:val="0071005B"/>
    <w:rsid w:val="00797FB8"/>
    <w:rsid w:val="00824F3A"/>
    <w:rsid w:val="00946019"/>
    <w:rsid w:val="00BF2FA1"/>
    <w:rsid w:val="00C646E8"/>
    <w:rsid w:val="00ED3C61"/>
    <w:rsid w:val="00F476A7"/>
    <w:rsid w:val="00FC6E42"/>
    <w:rsid w:val="07222102"/>
    <w:rsid w:val="1E2F41E5"/>
    <w:rsid w:val="24735635"/>
    <w:rsid w:val="39762F59"/>
    <w:rsid w:val="41C74C41"/>
    <w:rsid w:val="4FCA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F09966"/>
  <w15:docId w15:val="{AC03F63B-F3C0-4610-89F7-06186933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13969832751@163.com</cp:lastModifiedBy>
  <cp:revision>2</cp:revision>
  <dcterms:created xsi:type="dcterms:W3CDTF">2026-03-09T07:03:00Z</dcterms:created>
  <dcterms:modified xsi:type="dcterms:W3CDTF">2026-03-09T07:03:00Z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eyJoZGlkIjoiYzU5MzEyOTQxYTgwOWZkNDBmMjgxYTk3N2Y2Y2U3NGQiLCJ1c2VySWQiOiIxNDAwNjM2NzUyIn0=</vt:lpwstr>
  </property>
  <property fmtid="{D5CDD505-2E9C-101B-9397-08002B2CF9AE}" pid="4" name="ICV">
    <vt:lpwstr>1DC54BC35CDA47D19204429F9629B418_12</vt:lpwstr>
  </property>
</Properties>
</file>