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49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5"/>
        <w:gridCol w:w="1306"/>
        <w:gridCol w:w="2902"/>
        <w:gridCol w:w="292"/>
        <w:gridCol w:w="1267"/>
        <w:gridCol w:w="1843"/>
      </w:tblGrid>
      <w:tr w:rsidR="0081680B">
        <w:trPr>
          <w:trHeight w:val="2157"/>
        </w:trPr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B950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szCs w:val="22"/>
              </w:rPr>
              <w:t xml:space="preserve"> </w:t>
            </w:r>
            <w:bookmarkStart w:id="0" w:name="_GoBack"/>
            <w:bookmarkEnd w:id="0"/>
            <w:r w:rsidR="004D5F0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971501" cy="128073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01" cy="12807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pStyle w:val="Ttulo1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UNIVERSIDAD DISTRITAL FRANCISCO JOSÉ DE CALDAS</w:t>
            </w:r>
          </w:p>
          <w:p w:rsidR="0081680B" w:rsidRDefault="004D5F07">
            <w:pPr>
              <w:pStyle w:val="Ttulo2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FACULTAD DE INGENIERIA</w:t>
            </w:r>
          </w:p>
          <w:p w:rsidR="0081680B" w:rsidRDefault="0081680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SYLLABUS</w:t>
            </w:r>
          </w:p>
          <w:p w:rsidR="0081680B" w:rsidRDefault="0081680B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PROYECTO CURRICULAR</w:t>
            </w:r>
            <w:r>
              <w:rPr>
                <w:rFonts w:ascii="Times New Roman" w:eastAsia="Times New Roman" w:hAnsi="Times New Roman" w:cs="Times New Roman"/>
              </w:rPr>
              <w:t>:  INGENIERÍA ELECTRÓNICA</w:t>
            </w:r>
          </w:p>
        </w:tc>
      </w:tr>
      <w:tr w:rsidR="0081680B">
        <w:trPr>
          <w:trHeight w:val="566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DEL DOCENTE:  </w:t>
            </w:r>
          </w:p>
        </w:tc>
      </w:tr>
      <w:tr w:rsidR="0081680B">
        <w:trPr>
          <w:cantSplit/>
          <w:trHeight w:val="514"/>
        </w:trPr>
        <w:tc>
          <w:tcPr>
            <w:tcW w:w="609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spacing w:line="360" w:lineRule="auto"/>
              <w:ind w:left="2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ESPACIO ACADÉMICO (Asignatura): FÍSICA I MECÁNICA NEWTONIANA</w:t>
            </w:r>
          </w:p>
          <w:p w:rsidR="0081680B" w:rsidRDefault="004D5F07">
            <w:pPr>
              <w:spacing w:line="360" w:lineRule="auto"/>
              <w:ind w:left="2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Obligatorio (X): Básico (X) Complementario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)</w:t>
            </w:r>
            <w:proofErr w:type="gramEnd"/>
          </w:p>
          <w:p w:rsidR="0081680B" w:rsidRDefault="004D5F07">
            <w:pPr>
              <w:spacing w:line="360" w:lineRule="auto"/>
              <w:ind w:left="2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Electivo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: Intrínsecas ( ) Extrínsecas ( ) 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CÓDIGO: 3</w:t>
            </w:r>
          </w:p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1680B">
        <w:trPr>
          <w:trHeight w:val="399"/>
        </w:trPr>
        <w:tc>
          <w:tcPr>
            <w:tcW w:w="60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 DE ESTUDIANTES: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GRUPO: </w:t>
            </w:r>
          </w:p>
        </w:tc>
      </w:tr>
      <w:tr w:rsidR="0081680B">
        <w:trPr>
          <w:trHeight w:val="416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CREDITOS: 3</w:t>
            </w:r>
          </w:p>
        </w:tc>
      </w:tr>
      <w:tr w:rsidR="0081680B">
        <w:trPr>
          <w:trHeight w:val="416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CURSO:      TEÓRICO          PRACTICO           TEO-PRAC: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0</wp:posOffset>
                      </wp:positionV>
                      <wp:extent cx="238125" cy="251460"/>
                      <wp:effectExtent l="0" t="0" r="0" b="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59033"/>
                                <a:ext cx="228600" cy="241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81680B" w:rsidRDefault="004D5F07">
                                  <w:pPr>
                                    <w:spacing w:line="311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0</wp:posOffset>
                      </wp:positionV>
                      <wp:extent cx="238125" cy="25146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2514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1680B" w:rsidRDefault="0081680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Alternativas metodológicas:</w:t>
            </w: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Clase magistral, Dinámicas de grupo, Lecturas, Laboratorios, etc. </w:t>
            </w:r>
          </w:p>
        </w:tc>
      </w:tr>
      <w:tr w:rsidR="0081680B">
        <w:trPr>
          <w:trHeight w:val="524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pStyle w:val="Ttulo4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HORARIO: </w:t>
            </w:r>
          </w:p>
        </w:tc>
      </w:tr>
      <w:tr w:rsidR="0081680B">
        <w:trPr>
          <w:trHeight w:val="446"/>
        </w:trPr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pStyle w:val="Ttulo4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SALON</w:t>
            </w:r>
          </w:p>
        </w:tc>
      </w:tr>
      <w:tr w:rsidR="0081680B">
        <w:trPr>
          <w:trHeight w:val="915"/>
        </w:trPr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81680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81680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81680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1680B">
        <w:trPr>
          <w:trHeight w:val="394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I. JUSTIFICACIÓN DEL ESPACIO ACADÉMICO (¿El Por Qué?)</w:t>
            </w:r>
          </w:p>
        </w:tc>
      </w:tr>
      <w:tr w:rsidR="0081680B">
        <w:trPr>
          <w:trHeight w:val="1422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física como ciencia básica, ha jugado a través de la historia un papel fundamental en el desarrollo tecnológico e industrial de las diferentes áreas aplicadas del conocimiento en particular en el desarrollo de las ingenierías. La necesidad de dar una fo</w:t>
            </w:r>
            <w:r>
              <w:rPr>
                <w:rFonts w:ascii="Times New Roman" w:eastAsia="Times New Roman" w:hAnsi="Times New Roman" w:cs="Times New Roman"/>
              </w:rPr>
              <w:t>rmación científico-técnica como parte de una formación integral de los futuros ingenieros que se preparan en nuestra universidad, acorde con los objetivos generales de la profesión, el perfil deseado del estudiante y las necesidades del país, justifican el</w:t>
            </w:r>
            <w:r>
              <w:rPr>
                <w:rFonts w:ascii="Times New Roman" w:eastAsia="Times New Roman" w:hAnsi="Times New Roman" w:cs="Times New Roman"/>
              </w:rPr>
              <w:t xml:space="preserve"> diseño de un programa de Física I encaminado a dar los conocimientos básicos de la mecánica clásica, que le permita a los estudiantes comprender, analizar e interpretar los conceptos y fenómenos primarios de la física que serán aplicados y relacionados en</w:t>
            </w:r>
            <w:r>
              <w:rPr>
                <w:rFonts w:ascii="Times New Roman" w:eastAsia="Times New Roman" w:hAnsi="Times New Roman" w:cs="Times New Roman"/>
              </w:rPr>
              <w:t xml:space="preserve"> los siguientes cursos del área y en algunos temas de aplicación directa a la Ingeniería.</w:t>
            </w:r>
          </w:p>
        </w:tc>
      </w:tr>
      <w:tr w:rsidR="0081680B">
        <w:trPr>
          <w:trHeight w:val="497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II. PROGRAMACION DEL CONTENIDO (¿El Qué enseñar?)</w:t>
            </w:r>
          </w:p>
        </w:tc>
      </w:tr>
      <w:tr w:rsidR="0081680B">
        <w:trPr>
          <w:trHeight w:val="394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OBJETIVO GENERAL</w:t>
            </w:r>
          </w:p>
        </w:tc>
      </w:tr>
      <w:tr w:rsidR="0081680B">
        <w:trPr>
          <w:trHeight w:val="664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Comprender los principios fundamentales de la mecánica newtoniana, sus aplicaciones a problemas específicos en el campo de la Ingeniería electrónica y sus limitaciones conceptuales dentro de las teorías físicas.</w:t>
            </w:r>
          </w:p>
        </w:tc>
      </w:tr>
      <w:tr w:rsidR="0081680B">
        <w:trPr>
          <w:trHeight w:val="379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OBJETIVOS ESPECÍFICOS</w:t>
            </w:r>
          </w:p>
        </w:tc>
      </w:tr>
      <w:tr w:rsidR="0081680B">
        <w:trPr>
          <w:trHeight w:val="321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OBJETIVOS ESPECÍFICOS</w:t>
            </w:r>
          </w:p>
        </w:tc>
      </w:tr>
      <w:tr w:rsidR="0081680B">
        <w:trPr>
          <w:trHeight w:val="4937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Estudiar los tipos de unidades que se utilizan en la física.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Realizar operaciones con magnitudes escalares y vectoriales.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Manejar de forma adecuada los diferentes sistemas de medición.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Describir el movimiento de una partícula.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Definir las leyes de Newton.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Conocer y aplicar los conceptos de trabajo, potencia y energía.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Distinguir cuando una fuerza es conservativa o no conservativa.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Identificar las diferentes formas de energía que tiene un sistema.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Aplicar correctamente el teorema del trabajo y la energía y la ley de conservación de la energía en la solución de problemas físicos.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Comprender el concepto de momento lineal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Comprender las Leyes de Newton en términos del momento lineal de un sistema.</w:t>
            </w:r>
          </w:p>
          <w:p w:rsidR="0081680B" w:rsidRDefault="004D5F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Apli</w:t>
            </w: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car la conservación del momento lineal en la descripción del movimiento de un sistema de partículas.</w:t>
            </w:r>
          </w:p>
        </w:tc>
      </w:tr>
      <w:tr w:rsidR="0081680B">
        <w:trPr>
          <w:trHeight w:val="321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RESULTADOS DEL APRENDIZAJE</w:t>
            </w:r>
          </w:p>
          <w:p w:rsidR="0081680B" w:rsidRDefault="004D5F07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Demostrar una comprensión de los conocimientos básicos de la Física Newtoniana.</w:t>
            </w:r>
          </w:p>
          <w:p w:rsidR="0081680B" w:rsidRDefault="004D5F07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Demostrar habilidades de comunicación oral y escrita en la socialización de temas relacionados con la Física Newtoniana.</w:t>
            </w:r>
          </w:p>
          <w:p w:rsidR="0081680B" w:rsidRDefault="004D5F07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Diseñar y realizar un experimento (o una serie de experimentos) que demuestren su comprensión del método y los procesos científicos.</w:t>
            </w:r>
          </w:p>
          <w:p w:rsidR="0081680B" w:rsidRDefault="004D5F07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</w:rPr>
              <w:t>mostrar competencia en la adquisición de datos utilizando una variedad de instrumentos de laboratorio y en el análisis e interpretación de dichos datos.</w:t>
            </w:r>
          </w:p>
          <w:p w:rsidR="0081680B" w:rsidRDefault="004D5F07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Utilizar una amplia gama de recursos impresos, electrónicos y tecnologías de la información para apoyar</w:t>
            </w:r>
            <w:r>
              <w:rPr>
                <w:rFonts w:ascii="Times New Roman" w:eastAsia="Times New Roman" w:hAnsi="Times New Roman" w:cs="Times New Roman"/>
              </w:rPr>
              <w:t xml:space="preserve"> su estudio sobre la Física Newtoniana y presentar esos resultados en el contexto de la comprensión actual de tales fenómenos físicos.</w:t>
            </w:r>
          </w:p>
          <w:p w:rsidR="0081680B" w:rsidRDefault="004D5F07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Demostrar una comprensión profunda del enfoque analítico para modelar fenómenos de la Física Newtoniana.</w:t>
            </w:r>
          </w:p>
          <w:p w:rsidR="0081680B" w:rsidRDefault="0081680B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</w:p>
          <w:p w:rsidR="0081680B" w:rsidRDefault="0081680B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</w:p>
          <w:p w:rsidR="0081680B" w:rsidRDefault="0081680B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</w:p>
          <w:p w:rsidR="0081680B" w:rsidRDefault="008168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1680B">
        <w:trPr>
          <w:trHeight w:val="70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PROGRAMA SINTÉTICO</w:t>
            </w:r>
          </w:p>
          <w:p w:rsidR="0081680B" w:rsidRDefault="004D5F07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Escalares y vectores. </w:t>
            </w:r>
          </w:p>
          <w:p w:rsidR="0081680B" w:rsidRDefault="004D5F07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Cinemática de una partícula. </w:t>
            </w:r>
          </w:p>
          <w:p w:rsidR="0081680B" w:rsidRDefault="004D5F07">
            <w:pPr>
              <w:keepNext w:val="0"/>
              <w:spacing w:line="36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Dinámica y estática.</w:t>
            </w:r>
          </w:p>
          <w:p w:rsidR="0081680B" w:rsidRDefault="004D5F07">
            <w:pPr>
              <w:keepNext w:val="0"/>
              <w:spacing w:line="36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Trabajo y energía.</w:t>
            </w:r>
          </w:p>
          <w:p w:rsidR="0081680B" w:rsidRDefault="004D5F07">
            <w:pPr>
              <w:tabs>
                <w:tab w:val="left" w:pos="2850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Impulso y momento lineal.</w:t>
            </w:r>
          </w:p>
        </w:tc>
      </w:tr>
      <w:tr w:rsidR="0081680B">
        <w:trPr>
          <w:trHeight w:val="331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III. ESTRATEGIAS (¿El Cómo?)</w:t>
            </w:r>
          </w:p>
          <w:p w:rsidR="0081680B" w:rsidRDefault="0081680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1680B">
        <w:trPr>
          <w:trHeight w:val="6119"/>
        </w:trPr>
        <w:tc>
          <w:tcPr>
            <w:tcW w:w="9498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tabs>
                <w:tab w:val="left" w:pos="513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Metodología Pedagógica y Didáctica: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 tema expone los fundamentos teóricos estará y suficientes ejemplos de aplicación de manera que aclaren el porqué de los conceptos teóricos explicados. Se buscará una alta participación de los estudiantes a través de talleres individuales y grupales re</w:t>
            </w:r>
            <w:r>
              <w:rPr>
                <w:rFonts w:ascii="Times New Roman" w:eastAsia="Times New Roman" w:hAnsi="Times New Roman" w:cs="Times New Roman"/>
              </w:rPr>
              <w:t>alizados en la clase y fuera de ella, los cuales tendrán relación directa con los temas teóricos tratados en el curso. De igual forma se realizan discusiones grupales en torno a problemas específicos realizando evaluaciones periódicas donde se sustentan gr</w:t>
            </w:r>
            <w:r>
              <w:rPr>
                <w:rFonts w:ascii="Times New Roman" w:eastAsia="Times New Roman" w:hAnsi="Times New Roman" w:cs="Times New Roman"/>
              </w:rPr>
              <w:t>upalmente las soluciones con el fin de llevar el seguimiento constante sobre los progresos y dificultades en el proceso formativo del estudiante. Los estudiantes podrán disponer de espacios para asesoría por parte del profesor en los casos que así lo requi</w:t>
            </w:r>
            <w:r>
              <w:rPr>
                <w:rFonts w:ascii="Times New Roman" w:eastAsia="Times New Roman" w:hAnsi="Times New Roman" w:cs="Times New Roman"/>
              </w:rPr>
              <w:t>eran.</w:t>
            </w:r>
          </w:p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81680B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81680B" w:rsidRDefault="00816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000000"/>
                    <w:right w:val="nil"/>
                  </w:tcBorders>
                </w:tcPr>
                <w:p w:rsidR="0081680B" w:rsidRDefault="00816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:rsidR="0081680B" w:rsidRDefault="00816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81680B">
              <w:tc>
                <w:tcPr>
                  <w:tcW w:w="1305" w:type="dxa"/>
                  <w:tcBorders>
                    <w:top w:val="single" w:sz="4" w:space="0" w:color="000000"/>
                  </w:tcBorders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:rsidR="0081680B" w:rsidRDefault="008168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1680B">
              <w:tc>
                <w:tcPr>
                  <w:tcW w:w="1305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PRACTICO</w:t>
                  </w:r>
                </w:p>
              </w:tc>
              <w:tc>
                <w:tcPr>
                  <w:tcW w:w="470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6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82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89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992" w:type="dxa"/>
                </w:tcPr>
                <w:p w:rsidR="0081680B" w:rsidRDefault="004D5F0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Trabajo Presencial Directo (TD): trabajo de aula con plenaria de todos los estudiantes.</w:t>
            </w: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Trabajo Mediado _ cooperativo (TC): Trabajo de tutoría del docente a pequeños grupos o de forma individual a los estudiantes.</w:t>
            </w: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Trabajo Autónomo (TA): 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81680B">
        <w:trPr>
          <w:trHeight w:val="439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IV. RECURSOS (¿Con Qué?)</w:t>
            </w:r>
          </w:p>
        </w:tc>
      </w:tr>
      <w:tr w:rsidR="0081680B">
        <w:trPr>
          <w:trHeight w:val="2437"/>
        </w:trPr>
        <w:tc>
          <w:tcPr>
            <w:tcW w:w="9498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Medios y Ayudas:</w:t>
            </w: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curso requiere de espacio físico (aula de clase); Recurso docente, recursos informáticos (página de referencia del libro, CD de ayuda de este, Recursos bibliográficos (revistas especializadas), retroproyector,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videobeam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televisor, computadores (salas).</w:t>
            </w: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Laboratorios sobre los diversos temas del curso visualizando y observando la realidad de los fenómenos físicos electromagnéticos. Se llevan a cabo prácticas de laboratorio.</w:t>
            </w:r>
          </w:p>
          <w:tbl>
            <w:tblPr>
              <w:tblStyle w:val="a1"/>
              <w:tblW w:w="949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81680B">
              <w:trPr>
                <w:trHeight w:val="551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680B" w:rsidRDefault="004D5F07">
                  <w:pPr>
                    <w:pStyle w:val="Ttulo4"/>
                    <w:ind w:left="0" w:firstLine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BIBLIOGRAFÍA</w:t>
                  </w:r>
                </w:p>
              </w:tc>
            </w:tr>
            <w:tr w:rsidR="0081680B">
              <w:trPr>
                <w:trHeight w:val="575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680B" w:rsidRDefault="004D5F07">
                  <w:pPr>
                    <w:jc w:val="lef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TEXTOS GUÍAS</w:t>
                  </w:r>
                </w:p>
              </w:tc>
            </w:tr>
            <w:tr w:rsidR="0081680B">
              <w:trPr>
                <w:trHeight w:val="440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1680B" w:rsidRDefault="004D5F07">
                  <w:pPr>
                    <w:keepNext w:val="0"/>
                    <w:spacing w:after="160" w:line="259" w:lineRule="auto"/>
                    <w:jc w:val="lef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Serway - Jewett, Física para Ciencias e Ingeniería, Vol. II. Editorial Thomson, sexta edición.</w:t>
                  </w:r>
                </w:p>
                <w:p w:rsidR="0081680B" w:rsidRDefault="004D5F07">
                  <w:pPr>
                    <w:pStyle w:val="Ttulo4"/>
                    <w:ind w:left="0" w:firstLine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Sears-Zemansky, Física Universitaria, Vol. II, Editorial Addison-Wesley, 12a Edición</w:t>
                  </w:r>
                </w:p>
              </w:tc>
            </w:tr>
            <w:tr w:rsidR="0081680B">
              <w:trPr>
                <w:trHeight w:val="274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TEXTOS COMPLEMENTARIOS</w:t>
                  </w:r>
                </w:p>
              </w:tc>
            </w:tr>
            <w:tr w:rsidR="0081680B">
              <w:trPr>
                <w:trHeight w:val="274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Fishbane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Gasiorowicz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&amp;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Thortnton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Physics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Scientists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&amp;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Engineers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Second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Edition</w:t>
                  </w:r>
                  <w:proofErr w:type="spellEnd"/>
                </w:p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Feynman, R., Lecturas de Física</w:t>
                  </w:r>
                </w:p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Sears, F., Física</w:t>
                  </w:r>
                </w:p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Halliday, Resnick, Walter, Fundamentos de Física. Volumen 2. Sexta edición. Ed.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Cecsa</w:t>
                  </w:r>
                  <w:proofErr w:type="spellEnd"/>
                </w:p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Douglas C.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Giancoli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Physics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Prin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ciples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with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applications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. 5th ed.</w:t>
                  </w:r>
                </w:p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John D.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Cutnell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&amp; Kenneth W. Johnson,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Physics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, 4th ed.</w:t>
                  </w:r>
                </w:p>
              </w:tc>
            </w:tr>
            <w:tr w:rsidR="0081680B">
              <w:trPr>
                <w:trHeight w:val="274"/>
              </w:trPr>
              <w:tc>
                <w:tcPr>
                  <w:tcW w:w="9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AULA VIRTUAL EN MOODLE:</w:t>
                  </w:r>
                </w:p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http://ingenieria.udistrital.edu.co/moodle/course/</w:t>
                  </w:r>
                </w:p>
              </w:tc>
            </w:tr>
          </w:tbl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1680B">
        <w:trPr>
          <w:trHeight w:val="549"/>
        </w:trPr>
        <w:tc>
          <w:tcPr>
            <w:tcW w:w="9498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V. ORGANIZACIÓN / TIEMPOS (¿De Qué Forma?)</w:t>
            </w:r>
          </w:p>
        </w:tc>
      </w:tr>
      <w:tr w:rsidR="0081680B">
        <w:trPr>
          <w:trHeight w:val="2437"/>
        </w:trPr>
        <w:tc>
          <w:tcPr>
            <w:tcW w:w="9498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Espacios, Tiempos, Agrupamientos:</w:t>
            </w:r>
          </w:p>
          <w:tbl>
            <w:tblPr>
              <w:tblStyle w:val="a2"/>
              <w:tblW w:w="941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93"/>
              <w:gridCol w:w="376"/>
              <w:gridCol w:w="376"/>
              <w:gridCol w:w="376"/>
              <w:gridCol w:w="376"/>
              <w:gridCol w:w="376"/>
              <w:gridCol w:w="377"/>
              <w:gridCol w:w="377"/>
              <w:gridCol w:w="377"/>
              <w:gridCol w:w="461"/>
              <w:gridCol w:w="377"/>
              <w:gridCol w:w="377"/>
              <w:gridCol w:w="377"/>
              <w:gridCol w:w="377"/>
              <w:gridCol w:w="377"/>
              <w:gridCol w:w="377"/>
              <w:gridCol w:w="377"/>
              <w:gridCol w:w="8"/>
            </w:tblGrid>
            <w:tr w:rsidR="0081680B">
              <w:tc>
                <w:tcPr>
                  <w:tcW w:w="3293" w:type="dxa"/>
                  <w:shd w:val="clear" w:color="auto" w:fill="auto"/>
                </w:tcPr>
                <w:p w:rsidR="0081680B" w:rsidRDefault="004D5F07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Unidad</w:t>
                  </w:r>
                </w:p>
              </w:tc>
              <w:tc>
                <w:tcPr>
                  <w:tcW w:w="6119" w:type="dxa"/>
                  <w:gridSpan w:val="17"/>
                  <w:shd w:val="clear" w:color="auto" w:fill="auto"/>
                </w:tcPr>
                <w:p w:rsidR="0081680B" w:rsidRDefault="004D5F07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Semana</w:t>
                  </w:r>
                </w:p>
              </w:tc>
            </w:tr>
            <w:tr w:rsidR="0081680B">
              <w:trPr>
                <w:gridAfter w:val="1"/>
                <w:wAfter w:w="8" w:type="dxa"/>
              </w:trPr>
              <w:tc>
                <w:tcPr>
                  <w:tcW w:w="3293" w:type="dxa"/>
                  <w:shd w:val="clear" w:color="auto" w:fill="auto"/>
                </w:tcPr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Escalares y vectores</w:t>
                  </w:r>
                </w:p>
              </w:tc>
              <w:tc>
                <w:tcPr>
                  <w:tcW w:w="376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61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81680B">
              <w:trPr>
                <w:gridAfter w:val="1"/>
                <w:wAfter w:w="8" w:type="dxa"/>
              </w:trPr>
              <w:tc>
                <w:tcPr>
                  <w:tcW w:w="3293" w:type="dxa"/>
                  <w:shd w:val="clear" w:color="auto" w:fill="auto"/>
                </w:tcPr>
                <w:p w:rsidR="0081680B" w:rsidRDefault="004D5F07">
                  <w:pPr>
                    <w:tabs>
                      <w:tab w:val="left" w:pos="1908"/>
                    </w:tabs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Cinemática de una partícula</w:t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61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81680B">
              <w:trPr>
                <w:gridAfter w:val="1"/>
                <w:wAfter w:w="8" w:type="dxa"/>
              </w:trPr>
              <w:tc>
                <w:tcPr>
                  <w:tcW w:w="3293" w:type="dxa"/>
                  <w:shd w:val="clear" w:color="auto" w:fill="auto"/>
                </w:tcPr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Dinámica y estática</w:t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61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81680B">
              <w:trPr>
                <w:gridAfter w:val="1"/>
                <w:wAfter w:w="8" w:type="dxa"/>
              </w:trPr>
              <w:tc>
                <w:tcPr>
                  <w:tcW w:w="3293" w:type="dxa"/>
                  <w:shd w:val="clear" w:color="auto" w:fill="auto"/>
                </w:tcPr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Trabajo y energía</w:t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61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81680B">
              <w:trPr>
                <w:gridAfter w:val="1"/>
                <w:wAfter w:w="8" w:type="dxa"/>
              </w:trPr>
              <w:tc>
                <w:tcPr>
                  <w:tcW w:w="3293" w:type="dxa"/>
                  <w:shd w:val="clear" w:color="auto" w:fill="auto"/>
                </w:tcPr>
                <w:p w:rsidR="0081680B" w:rsidRDefault="004D5F0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Impulso y momento lineal</w:t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61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7F7F7F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81680B">
              <w:trPr>
                <w:gridAfter w:val="1"/>
                <w:wAfter w:w="8" w:type="dxa"/>
              </w:trPr>
              <w:tc>
                <w:tcPr>
                  <w:tcW w:w="3293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6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461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77" w:type="dxa"/>
                  <w:shd w:val="clear" w:color="auto" w:fill="auto"/>
                </w:tcPr>
                <w:p w:rsidR="0081680B" w:rsidRDefault="0081680B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1680B">
        <w:trPr>
          <w:trHeight w:val="380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pStyle w:val="Ttulo4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VI. EVALUACIÓN (¿Qué,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Cuándo, Cómo?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 importante tener en cuenta las diferencias entre evaluar y calificar. El primero es un proceso cualitativo y el segundo un estado terminal cuantitativo que se obtiene producto de la evaluación. Para la obtención de l</w:t>
            </w:r>
            <w:r>
              <w:rPr>
                <w:rFonts w:ascii="Times New Roman" w:eastAsia="Times New Roman" w:hAnsi="Times New Roman" w:cs="Times New Roman"/>
              </w:rPr>
              <w:t>a información necesaria para los procesos de evaluación se requiere diseñar distintos formatos específicos de autoevaluación, coevaluación y heteroevaluación.</w:t>
            </w:r>
          </w:p>
          <w:p w:rsidR="0081680B" w:rsidRDefault="0081680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1680B">
        <w:trPr>
          <w:cantSplit/>
          <w:trHeight w:val="42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PRIMERA NOTA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EVALUACIÓN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PORCENTAJE</w:t>
            </w:r>
          </w:p>
        </w:tc>
      </w:tr>
      <w:tr w:rsidR="0081680B">
        <w:trPr>
          <w:cantSplit/>
          <w:trHeight w:val="1213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81680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Talleres, Trabajos, Quiz, Parcial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Hasta semana 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</w:tr>
      <w:tr w:rsidR="0081680B">
        <w:trPr>
          <w:cantSplit/>
          <w:trHeight w:val="183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SEGUNDA NOTA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Talleres, Trabajos, Quiz, Parcial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Hasta semana 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</w:tr>
      <w:tr w:rsidR="0081680B">
        <w:trPr>
          <w:trHeight w:val="7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 FINAL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Examen final y nota de laboratorio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Semana 17 y 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 y 20%</w:t>
            </w:r>
          </w:p>
        </w:tc>
      </w:tr>
      <w:tr w:rsidR="0081680B">
        <w:trPr>
          <w:trHeight w:val="380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680B" w:rsidRDefault="004D5F07">
            <w:pPr>
              <w:pStyle w:val="Ttulo4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ASPECTOS A EVALUAR DEL CURSO</w:t>
            </w:r>
          </w:p>
        </w:tc>
      </w:tr>
      <w:tr w:rsidR="0081680B">
        <w:trPr>
          <w:trHeight w:val="1371"/>
        </w:trPr>
        <w:tc>
          <w:tcPr>
            <w:tcW w:w="9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680B" w:rsidRDefault="004D5F07">
            <w:pPr>
              <w:keepNext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Evaluación del desempeño docente </w:t>
            </w:r>
          </w:p>
          <w:p w:rsidR="0081680B" w:rsidRDefault="004D5F07">
            <w:pPr>
              <w:keepNext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Evaluación de los aprendizajes de los estudiantes en sus dimensiones: individual/grupo, teórica/práctica, oral/escrita.</w:t>
            </w:r>
          </w:p>
          <w:p w:rsidR="0081680B" w:rsidRDefault="004D5F07">
            <w:pPr>
              <w:keepNext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Autoevaluación:</w:t>
            </w:r>
          </w:p>
          <w:p w:rsidR="0081680B" w:rsidRDefault="004D5F07">
            <w:pPr>
              <w:keepNext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Coevaluación del curso: de forma oral entre estudiantes y docente.</w:t>
            </w:r>
          </w:p>
        </w:tc>
      </w:tr>
    </w:tbl>
    <w:p w:rsidR="0081680B" w:rsidRDefault="0081680B">
      <w:pPr>
        <w:rPr>
          <w:rFonts w:ascii="Times New Roman" w:eastAsia="Times New Roman" w:hAnsi="Times New Roman" w:cs="Times New Roman"/>
        </w:rPr>
      </w:pPr>
    </w:p>
    <w:p w:rsidR="0081680B" w:rsidRDefault="0081680B">
      <w:pPr>
        <w:rPr>
          <w:rFonts w:ascii="Times New Roman" w:eastAsia="Times New Roman" w:hAnsi="Times New Roman" w:cs="Times New Roman"/>
        </w:rPr>
      </w:pPr>
    </w:p>
    <w:p w:rsidR="0081680B" w:rsidRDefault="0081680B">
      <w:pPr>
        <w:tabs>
          <w:tab w:val="left" w:pos="1200"/>
        </w:tabs>
        <w:rPr>
          <w:rFonts w:ascii="Times New Roman" w:eastAsia="Times New Roman" w:hAnsi="Times New Roman" w:cs="Times New Roman"/>
        </w:rPr>
      </w:pPr>
    </w:p>
    <w:p w:rsidR="0081680B" w:rsidRDefault="0081680B">
      <w:pPr>
        <w:tabs>
          <w:tab w:val="left" w:pos="1200"/>
        </w:tabs>
        <w:rPr>
          <w:rFonts w:ascii="Times New Roman" w:eastAsia="Times New Roman" w:hAnsi="Times New Roman" w:cs="Times New Roman"/>
        </w:rPr>
      </w:pPr>
    </w:p>
    <w:sectPr w:rsidR="0081680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F5EF7"/>
    <w:multiLevelType w:val="multilevel"/>
    <w:tmpl w:val="DD9432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DCE71CF"/>
    <w:multiLevelType w:val="multilevel"/>
    <w:tmpl w:val="A914C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80B"/>
    <w:rsid w:val="004D5F07"/>
    <w:rsid w:val="0081680B"/>
    <w:rsid w:val="00B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C70C"/>
  <w15:docId w15:val="{881397EC-6F0C-442F-80ED-7D26EEB0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706"/>
    <w:rPr>
      <w:szCs w:val="24"/>
      <w:lang w:eastAsia="es-MX"/>
    </w:rPr>
  </w:style>
  <w:style w:type="paragraph" w:styleId="Ttulo1">
    <w:name w:val="heading 1"/>
    <w:basedOn w:val="Normal"/>
    <w:next w:val="Normal"/>
    <w:uiPriority w:val="9"/>
    <w:qFormat/>
    <w:rsid w:val="00DF1706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DF1706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DF1706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angra2detindependiente">
    <w:name w:val="Body Text Indent 2"/>
    <w:basedOn w:val="Normal"/>
    <w:rsid w:val="00DF1706"/>
    <w:pPr>
      <w:spacing w:after="120" w:line="480" w:lineRule="auto"/>
      <w:ind w:left="283"/>
    </w:pPr>
  </w:style>
  <w:style w:type="paragraph" w:styleId="Piedepgina">
    <w:name w:val="footer"/>
    <w:basedOn w:val="Normal"/>
    <w:rsid w:val="00DF1706"/>
    <w:pPr>
      <w:tabs>
        <w:tab w:val="center" w:pos="4252"/>
        <w:tab w:val="right" w:pos="8504"/>
      </w:tabs>
    </w:pPr>
  </w:style>
  <w:style w:type="character" w:styleId="Hipervnculo">
    <w:name w:val="Hyperlink"/>
    <w:rsid w:val="004D668C"/>
    <w:rPr>
      <w:color w:val="0248B0"/>
      <w:u w:val="single"/>
    </w:rPr>
  </w:style>
  <w:style w:type="paragraph" w:styleId="Prrafodelista">
    <w:name w:val="List Paragraph"/>
    <w:basedOn w:val="Normal"/>
    <w:uiPriority w:val="34"/>
    <w:qFormat/>
    <w:rsid w:val="00077BF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SqjzU9SDbw6TNAxFMyv4F0YH8w==">AMUW2mVWWM8K/W/bp5faUXGNsSslnOUCsuYmB/peVhE83teexeSZUTrqkhyWBCy7L6+V9pq9jI/xPrCmkw7s8VRBprOeEf3UQJC05TUAM0CYTer3rDNsVqw=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USED</dc:creator>
  <cp:lastModifiedBy>Jose</cp:lastModifiedBy>
  <cp:revision>2</cp:revision>
  <dcterms:created xsi:type="dcterms:W3CDTF">2023-02-14T13:45:00Z</dcterms:created>
  <dcterms:modified xsi:type="dcterms:W3CDTF">2023-02-14T13:45:00Z</dcterms:modified>
</cp:coreProperties>
</file>