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i-prompt-log"/>
    <w:p>
      <w:pPr>
        <w:pStyle w:val="Heading1"/>
      </w:pPr>
      <w:r>
        <w:t xml:space="preserve">AI Prompt Log</w:t>
      </w:r>
    </w:p>
    <w:p>
      <w:pPr>
        <w:pStyle w:val="FirstParagraph"/>
      </w:pPr>
      <w:r>
        <w:rPr>
          <w:b/>
          <w:bCs/>
        </w:rPr>
        <w:t xml:space="preserve">Name:</w:t>
      </w:r>
      <w:r>
        <w:t xml:space="preserve"> </w:t>
      </w:r>
      <w:r>
        <w:t xml:space="preserve">Yang Muhan</w:t>
      </w:r>
      <w:r>
        <w:br/>
      </w:r>
      <w:r>
        <w:rPr>
          <w:b/>
          <w:bCs/>
        </w:rPr>
        <w:t xml:space="preserve">Student ID:</w:t>
      </w:r>
      <w:r>
        <w:t xml:space="preserve"> </w:t>
      </w:r>
      <w:r>
        <w:t xml:space="preserve">59793561</w:t>
      </w:r>
      <w:r>
        <w:br/>
      </w:r>
      <w:r>
        <w:rPr>
          <w:b/>
          <w:bCs/>
        </w:rPr>
        <w:t xml:space="preserve">Project:</w:t>
      </w:r>
      <w:r>
        <w:t xml:space="preserve"> </w:t>
      </w:r>
      <w:r>
        <w:t xml:space="preserve">Diffusion Policy Imitation Learning for Dual-Arm Manipulation</w:t>
      </w:r>
      <w:r>
        <w:br/>
      </w:r>
      <w:r>
        <w:rPr>
          <w:b/>
          <w:bCs/>
        </w:rPr>
        <w:t xml:space="preserve">My role:</w:t>
      </w:r>
      <w:r>
        <w:t xml:space="preserve"> </w:t>
      </w:r>
      <w:r>
        <w:t xml:space="preserve">Behavior Cloning, DAgger, and covariate shift analysis</w:t>
      </w:r>
    </w:p>
    <w:bookmarkStart w:id="20" w:name="note-on-language"/>
    <w:p>
      <w:pPr>
        <w:pStyle w:val="Heading2"/>
      </w:pPr>
      <w:r>
        <w:t xml:space="preserve">Note on Language</w:t>
      </w:r>
    </w:p>
    <w:p>
      <w:pPr>
        <w:pStyle w:val="FirstParagraph"/>
      </w:pPr>
      <w:r>
        <w:t xml:space="preserve">Most of my AI interactions were in Chinese, because it was easier for me to describe code problems, experiment results, and debugging details clearly. In this log, I summarize the main AI usage in English instead of copying the original chat word by word.</w:t>
      </w:r>
    </w:p>
    <w:p>
      <w:pPr>
        <w:pStyle w:val="BodyText"/>
      </w:pPr>
      <w:r>
        <w:t xml:space="preserve">I used AI mainly as a coding and debugging assistant. I also used it to discuss experiment design, result interpretation, figure selection, and report structure. The reported experimental numbers were not generated by AI. They came from my own code execution and final evaluation results.</w:t>
      </w:r>
    </w:p>
    <w:bookmarkEnd w:id="20"/>
    <w:bookmarkStart w:id="33" w:name="main-ai-usage-record"/>
    <w:p>
      <w:pPr>
        <w:pStyle w:val="Heading2"/>
      </w:pPr>
      <w:r>
        <w:t xml:space="preserve">Main AI Usage Record</w:t>
      </w:r>
    </w:p>
    <w:bookmarkStart w:id="21" w:name="understanding-my-part-of-the-project"/>
    <w:p>
      <w:pPr>
        <w:pStyle w:val="Heading3"/>
      </w:pPr>
      <w:r>
        <w:t xml:space="preserve">1. Understanding my part of the project</w:t>
      </w:r>
    </w:p>
    <w:p>
      <w:pPr>
        <w:pStyle w:val="FirstParagraph"/>
      </w:pPr>
      <w:r>
        <w:t xml:space="preserve">At the beginning, I used AI to clarify what my role should focus on. The full project includes data collection, BC, DAgger, and Diffusion Policy. I asked how to make my part different from the other group members’ work.</w:t>
      </w:r>
    </w:p>
    <w:p>
      <w:pPr>
        <w:pStyle w:val="BodyText"/>
      </w:pPr>
      <w:r>
        <w:t xml:space="preserve">The useful suggestion was that my part should not try to cover the whole project equally. Instead, it should focus on classical imitation learning baselines, especially BC and DAgger, and use them to analyze covariate shift. I accepted this structure because it matched my actual workload.</w:t>
      </w:r>
    </w:p>
    <w:p>
      <w:pPr>
        <w:pStyle w:val="BodyText"/>
      </w:pPr>
      <w:r>
        <w:t xml:space="preserve">Final decision: my report focuses on BC, DAgger, noisy demonstrations, closed-loop evaluation, and covariate shift. I only mention Student 1 and Student 3 briefly as project context.</w:t>
      </w:r>
    </w:p>
    <w:bookmarkEnd w:id="21"/>
    <w:bookmarkStart w:id="22" w:name="planning-the-bc-and-dagger-experiments"/>
    <w:p>
      <w:pPr>
        <w:pStyle w:val="Heading3"/>
      </w:pPr>
      <w:r>
        <w:t xml:space="preserve">2. Planning the BC and DAgger experiments</w:t>
      </w:r>
    </w:p>
    <w:p>
      <w:pPr>
        <w:pStyle w:val="FirstParagraph"/>
      </w:pPr>
      <w:r>
        <w:t xml:space="preserve">I asked AI what experiments would make sense for BC and DAgger under clean and noisy demonstrations. The suggestion was to compare different noisy-demonstration ratios and use rollout success rate rather than only training loss.</w:t>
      </w:r>
    </w:p>
    <w:p>
      <w:pPr>
        <w:pStyle w:val="BodyText"/>
      </w:pPr>
      <w:r>
        <w:t xml:space="preserve">This helped me decide that the main results should be based on closed-loop evaluation. I used noisy ratios 0.0, 0.3, 0.5, and 1.0 in the main report. I also tested ratio 0.8, but later moved it to the appendix because the result looked more like a special failure case.</w:t>
      </w:r>
    </w:p>
    <w:p>
      <w:pPr>
        <w:pStyle w:val="BodyText"/>
      </w:pPr>
      <w:r>
        <w:t xml:space="preserve">Final decision: the main report uses 50-episode evaluation for BC vs DAgger, with success rate and mean steps as the main metrics.</w:t>
      </w:r>
    </w:p>
    <w:bookmarkEnd w:id="22"/>
    <w:bookmarkStart w:id="23" w:name="checking-bc-training-details"/>
    <w:p>
      <w:pPr>
        <w:pStyle w:val="Heading3"/>
      </w:pPr>
      <w:r>
        <w:t xml:space="preserve">3. Checking BC training details</w:t>
      </w:r>
    </w:p>
    <w:p>
      <w:pPr>
        <w:pStyle w:val="FirstParagraph"/>
      </w:pPr>
      <w:r>
        <w:t xml:space="preserve">I used AI to check whether my BC training logic was reasonable. One important point was the train/validation split. AI reminded me that if timesteps from the same trajectory appear in both training and validation sets, the validation loss may look better than it really is.</w:t>
      </w:r>
    </w:p>
    <w:p>
      <w:pPr>
        <w:pStyle w:val="BodyText"/>
      </w:pPr>
      <w:r>
        <w:t xml:space="preserve">This made me pay attention to trajectory-level splitting. I also checked the use of state/action normalization and best validation checkpoint selection.</w:t>
      </w:r>
    </w:p>
    <w:p>
      <w:pPr>
        <w:pStyle w:val="BodyText"/>
      </w:pPr>
      <w:r>
        <w:t xml:space="preserve">Final decision: I described BC as a supervised MLP policy trained with MSE loss, using trajectory-level split and normalized state/action data.</w:t>
      </w:r>
    </w:p>
    <w:bookmarkEnd w:id="23"/>
    <w:bookmarkStart w:id="24" w:name="debugging-dagger-data-collection"/>
    <w:p>
      <w:pPr>
        <w:pStyle w:val="Heading3"/>
      </w:pPr>
      <w:r>
        <w:t xml:space="preserve">4. Debugging DAgger data collection</w:t>
      </w:r>
    </w:p>
    <w:p>
      <w:pPr>
        <w:pStyle w:val="FirstParagraph"/>
      </w:pPr>
      <w:r>
        <w:t xml:space="preserve">The DAgger part was more complicated than BC, so I used AI to help reason about the implementation. I asked about what data should be saved during rollout, especially when the student action is executed.</w:t>
      </w:r>
    </w:p>
    <w:p>
      <w:pPr>
        <w:pStyle w:val="BodyText"/>
      </w:pPr>
      <w:r>
        <w:t xml:space="preserve">The useful point was that even if the student action is executed in the environment, the training label should still be the expert action for that visited state. Otherwise, DAgger would just learn from its own possibly wrong action. I checked the saved HDF5 fields, including expert actions, student actions, executed actions, and executed-by information.</w:t>
      </w:r>
    </w:p>
    <w:p>
      <w:pPr>
        <w:pStyle w:val="BodyText"/>
      </w:pPr>
      <w:r>
        <w:t xml:space="preserve">Final decision: I treated expert action labels as the supervised labels in DAgger and explained this detail in the methodology section.</w:t>
      </w:r>
    </w:p>
    <w:bookmarkEnd w:id="24"/>
    <w:bookmarkStart w:id="25" w:name="checking-failed-rollout-saving"/>
    <w:p>
      <w:pPr>
        <w:pStyle w:val="Heading3"/>
      </w:pPr>
      <w:r>
        <w:t xml:space="preserve">5. Checking failed rollout saving</w:t>
      </w:r>
    </w:p>
    <w:p>
      <w:pPr>
        <w:pStyle w:val="FirstParagraph"/>
      </w:pPr>
      <w:r>
        <w:t xml:space="preserve">I also asked whether failed trajectories should be saved. The answer was useful: failed rollouts are not useless, because they may contain states where the learner goes wrong and needs expert recovery labels.</w:t>
      </w:r>
    </w:p>
    <w:p>
      <w:pPr>
        <w:pStyle w:val="BodyText"/>
      </w:pPr>
      <w:r>
        <w:t xml:space="preserve">After that, I checked the saving logic and confirmed that failed episodes could be kept. This was important because DAgger is supposed to learn from the learner’s own state distribution, including bad states.</w:t>
      </w:r>
    </w:p>
    <w:p>
      <w:pPr>
        <w:pStyle w:val="BodyText"/>
      </w:pPr>
      <w:r>
        <w:t xml:space="preserve">Final decision: I kept failed rollout data during DAgger data collection and treated it as part of the recovery-state data.</w:t>
      </w:r>
    </w:p>
    <w:bookmarkEnd w:id="25"/>
    <w:bookmarkStart w:id="26" w:name="fixing-evaluation-logic"/>
    <w:p>
      <w:pPr>
        <w:pStyle w:val="Heading3"/>
      </w:pPr>
      <w:r>
        <w:t xml:space="preserve">6. Fixing evaluation logic</w:t>
      </w:r>
    </w:p>
    <w:p>
      <w:pPr>
        <w:pStyle w:val="FirstParagraph"/>
      </w:pPr>
      <w:r>
        <w:t xml:space="preserve">At one point, I was worried that the success rate might be computed incorrectly. I asked AI to help think through whether the evaluation should use saved episodes or actual successful episodes.</w:t>
      </w:r>
    </w:p>
    <w:p>
      <w:pPr>
        <w:pStyle w:val="BodyText"/>
      </w:pPr>
      <w:r>
        <w:t xml:space="preserve">The useful suggestion was that final success rate should be based on actual success count divided by attempted episodes. This helped me check the final evaluation script and avoid reporting misleading success rates.</w:t>
      </w:r>
    </w:p>
    <w:p>
      <w:pPr>
        <w:pStyle w:val="BodyText"/>
      </w:pPr>
      <w:r>
        <w:t xml:space="preserve">Final decision: the final report uses success count / 50 episodes for the main success rate results.</w:t>
      </w:r>
    </w:p>
    <w:bookmarkEnd w:id="26"/>
    <w:bookmarkStart w:id="27" w:name="deciding-final-evaluation-size"/>
    <w:p>
      <w:pPr>
        <w:pStyle w:val="Heading3"/>
      </w:pPr>
      <w:r>
        <w:t xml:space="preserve">7. Deciding final evaluation size</w:t>
      </w:r>
    </w:p>
    <w:p>
      <w:pPr>
        <w:pStyle w:val="FirstParagraph"/>
      </w:pPr>
      <w:r>
        <w:t xml:space="preserve">Some early runs used fewer episodes and were useful for quick checks, but I was not sure whether they were stable enough for the report. I asked AI whether 20 episodes was enough or whether I should run more.</w:t>
      </w:r>
    </w:p>
    <w:p>
      <w:pPr>
        <w:pStyle w:val="BodyText"/>
      </w:pPr>
      <w:r>
        <w:t xml:space="preserve">The suggestion was that 50 episodes would be better for final reporting because small evaluation counts can be noisy. I followed this advice and used 50-episode final results in the main report.</w:t>
      </w:r>
    </w:p>
    <w:p>
      <w:pPr>
        <w:pStyle w:val="BodyText"/>
      </w:pPr>
      <w:r>
        <w:t xml:space="preserve">Final decision: smoke tests and short evaluations were not used as main results. The main report uses the 50-episode final evaluation only.</w:t>
      </w:r>
    </w:p>
    <w:bookmarkEnd w:id="27"/>
    <w:bookmarkStart w:id="28" w:name="interpreting-the-main-results"/>
    <w:p>
      <w:pPr>
        <w:pStyle w:val="Heading3"/>
      </w:pPr>
      <w:r>
        <w:t xml:space="preserve">8. Interpreting the main results</w:t>
      </w:r>
    </w:p>
    <w:p>
      <w:pPr>
        <w:pStyle w:val="FirstParagraph"/>
      </w:pPr>
      <w:r>
        <w:t xml:space="preserve">After getting the final results, I used AI to discuss how to explain them. The main pattern was that BC performed well on clean data but dropped badly under noisy data, while DAgger recovered strongly under moderate noise.</w:t>
      </w:r>
    </w:p>
    <w:p>
      <w:pPr>
        <w:pStyle w:val="BodyText"/>
      </w:pPr>
      <w:r>
        <w:t xml:space="preserve">The explanation I used was covariate shift. BC only trains on demonstration states, so once it makes mistakes during rollout, it may enter unfamiliar states. DAgger improves this by collecting learner-visited states and labeling them with expert actions.</w:t>
      </w:r>
    </w:p>
    <w:p>
      <w:pPr>
        <w:pStyle w:val="BodyText"/>
      </w:pPr>
      <w:r>
        <w:t xml:space="preserve">Final decision: I used covariate shift and compounding errors as the main analysis angle in the report.</w:t>
      </w:r>
    </w:p>
    <w:bookmarkEnd w:id="28"/>
    <w:bookmarkStart w:id="29" w:name="handling-the-ratio-0.8-result"/>
    <w:p>
      <w:pPr>
        <w:pStyle w:val="Heading3"/>
      </w:pPr>
      <w:r>
        <w:t xml:space="preserve">9. Handling the ratio 0.8 result</w:t>
      </w:r>
    </w:p>
    <w:p>
      <w:pPr>
        <w:pStyle w:val="FirstParagraph"/>
      </w:pPr>
      <w:r>
        <w:t xml:space="preserve">The ratio 0.8 result was confusing because it failed completely, while ratio 1.0 still had some partial recovery. I asked AI how to report this without making an overclaim.</w:t>
      </w:r>
    </w:p>
    <w:p>
      <w:pPr>
        <w:pStyle w:val="BodyText"/>
      </w:pPr>
      <w:r>
        <w:t xml:space="preserve">The useful suggestion was to treat ratio 0.8 as a high-noise diagnostic case instead of a normal trend point. This made the main figure cleaner and avoided making the report focus too much on one strange result.</w:t>
      </w:r>
    </w:p>
    <w:p>
      <w:pPr>
        <w:pStyle w:val="BodyText"/>
      </w:pPr>
      <w:r>
        <w:t xml:space="preserve">Final decision: I removed ratio 0.8 from the main figures and put it in the appendix as a diagnostic failure case.</w:t>
      </w:r>
    </w:p>
    <w:bookmarkEnd w:id="29"/>
    <w:bookmarkStart w:id="30" w:name="choosing-figures-and-appendix-content"/>
    <w:p>
      <w:pPr>
        <w:pStyle w:val="Heading3"/>
      </w:pPr>
      <w:r>
        <w:t xml:space="preserve">10. Choosing figures and appendix content</w:t>
      </w:r>
    </w:p>
    <w:p>
      <w:pPr>
        <w:pStyle w:val="FirstParagraph"/>
      </w:pPr>
      <w:r>
        <w:t xml:space="preserve">I asked AI which figures should be placed in the main report. The suggestion was to keep the main report focused on final success rate and final mean steps, because these directly show closed-loop performance.</w:t>
      </w:r>
    </w:p>
    <w:p>
      <w:pPr>
        <w:pStyle w:val="BodyText"/>
      </w:pPr>
      <w:r>
        <w:t xml:space="preserve">For extra results, AI suggested using the appendix. I used the appendix for BC training curves, BC-only data-size ablation, and the ratio 0.8 diagnostic case.</w:t>
      </w:r>
    </w:p>
    <w:p>
      <w:pPr>
        <w:pStyle w:val="BodyText"/>
      </w:pPr>
      <w:r>
        <w:t xml:space="preserve">Final decision: the main report contains the final BC vs DAgger table, success-rate figure, mean-steps figure, and best DAgger round table. Extra diagnostic results are placed in the appendix.</w:t>
      </w:r>
    </w:p>
    <w:bookmarkEnd w:id="30"/>
    <w:bookmarkStart w:id="31" w:name="writing-and-report-organization"/>
    <w:p>
      <w:pPr>
        <w:pStyle w:val="Heading3"/>
      </w:pPr>
      <w:r>
        <w:t xml:space="preserve">11. Writing and report organization</w:t>
      </w:r>
    </w:p>
    <w:p>
      <w:pPr>
        <w:pStyle w:val="FirstParagraph"/>
      </w:pPr>
      <w:r>
        <w:t xml:space="preserve">After the experiments were mostly done, I used AI to help organize the report. I did not want to mix my part with the full group report too much, because each student needs to submit a unique report. I asked how to write my report so that it clearly shows my own contribution.</w:t>
      </w:r>
    </w:p>
    <w:p>
      <w:pPr>
        <w:pStyle w:val="BodyText"/>
      </w:pPr>
      <w:r>
        <w:t xml:space="preserve">The suggested structure was useful: introduction, my role, task/data background, methodology, experiment design, results, covariate shift analysis, limitations, connection to Diffusion Policy, and appendix.</w:t>
      </w:r>
    </w:p>
    <w:p>
      <w:pPr>
        <w:pStyle w:val="BodyText"/>
      </w:pPr>
      <w:r>
        <w:t xml:space="preserve">Final decision: I wrote the final report around my own BC and DAgger work. I briefly mention Student 1’s data pipeline and Student 3’s Diffusion Policy only as background.</w:t>
      </w:r>
    </w:p>
    <w:bookmarkEnd w:id="31"/>
    <w:bookmarkStart w:id="32" w:name="formatting-the-final-report"/>
    <w:p>
      <w:pPr>
        <w:pStyle w:val="Heading3"/>
      </w:pPr>
      <w:r>
        <w:t xml:space="preserve">12. Formatting the final report</w:t>
      </w:r>
    </w:p>
    <w:p>
      <w:pPr>
        <w:pStyle w:val="FirstParagraph"/>
      </w:pPr>
      <w:r>
        <w:t xml:space="preserve">I also used AI for LaTeX formatting. This included table formatting, figure placement, appendix formatting, and fixing unwanted section numbering. For example, the appendix first appeared as a numbered Section 5, so I changed it to an unnumbered appendix title.</w:t>
      </w:r>
    </w:p>
    <w:p>
      <w:pPr>
        <w:pStyle w:val="BodyText"/>
      </w:pPr>
      <w:r>
        <w:t xml:space="preserve">Final decision: I checked the compiled PDF myself and adjusted the formatting until the report looked acceptable.</w:t>
      </w:r>
    </w:p>
    <w:bookmarkEnd w:id="32"/>
    <w:bookmarkEnd w:id="33"/>
    <w:bookmarkStart w:id="34" w:name="section"/>
    <w:p>
      <w:pPr>
        <w:pStyle w:val="Heading2"/>
      </w:pP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2026-05-13T07:00:20Z</dcterms:created>
  <dcterms:modified xsi:type="dcterms:W3CDTF">2026-05-13T07:00:20Z</dcterms:modified>
</cp:coreProperties>
</file>

<file path=docProps/custom.xml><?xml version="1.0" encoding="utf-8"?>
<Properties xmlns="http://schemas.openxmlformats.org/officeDocument/2006/custom-properties" xmlns:vt="http://schemas.openxmlformats.org/officeDocument/2006/docPropsVTypes"/>
</file>