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81AC2C" w14:textId="2856CBFA" w:rsidR="004609CD" w:rsidRDefault="004609CD">
      <w:r>
        <w:t xml:space="preserve">This internal contract </w:t>
      </w:r>
      <w:r w:rsidR="00B95A24">
        <w:t xml:space="preserve">amendment updates </w:t>
      </w:r>
      <w:r>
        <w:t>the division of labor, roles, responsibilities and revenue between the NY Health and PRM practices in regards to the servicing of the Premier reseller agreement.</w:t>
      </w:r>
      <w:r w:rsidR="00015F01">
        <w:t xml:space="preserve">  This amendment will be effective for services rendered in 4Q2018 an onward (until another amendment supersedes this one).</w:t>
      </w:r>
    </w:p>
    <w:p w14:paraId="47B6E62E" w14:textId="77777777" w:rsidR="004609CD" w:rsidRDefault="004609CD" w:rsidP="007D7AEE">
      <w:pPr>
        <w:pStyle w:val="Heading1"/>
      </w:pPr>
      <w:r>
        <w:t>Revenue</w:t>
      </w:r>
      <w:r w:rsidR="007D7AEE">
        <w:t xml:space="preserve"> Sharing</w:t>
      </w:r>
    </w:p>
    <w:p w14:paraId="4EA95684" w14:textId="6266A8D1" w:rsidR="004609CD" w:rsidRDefault="004609CD">
      <w:r>
        <w:t xml:space="preserve">Premier revenue sharing will be according to the </w:t>
      </w:r>
      <w:r w:rsidR="00B95A24">
        <w:t>percentages in the table below</w:t>
      </w:r>
      <w:r w:rsidR="00852CCD">
        <w:t xml:space="preserve">. Changes from the original agreement </w:t>
      </w:r>
      <w:proofErr w:type="gramStart"/>
      <w:r w:rsidR="00852CCD">
        <w:t>are highlighted</w:t>
      </w:r>
      <w:proofErr w:type="gramEnd"/>
      <w:r w:rsidR="00852CCD">
        <w:t xml:space="preserve"> in red</w:t>
      </w:r>
      <w:r w:rsidR="00B95A24">
        <w:t>:</w:t>
      </w:r>
    </w:p>
    <w:p w14:paraId="70F8BEC2" w14:textId="2B123529" w:rsidR="00B95A24" w:rsidRPr="00B95A24" w:rsidRDefault="00B95A24">
      <w:pPr>
        <w:rPr>
          <w:b/>
        </w:rPr>
      </w:pPr>
      <w:r>
        <w:rPr>
          <w:b/>
        </w:rPr>
        <w:t>Implementations:</w:t>
      </w:r>
    </w:p>
    <w:tbl>
      <w:tblPr>
        <w:tblStyle w:val="TableGrid"/>
        <w:tblW w:w="0" w:type="auto"/>
        <w:jc w:val="center"/>
        <w:tblLook w:val="04A0" w:firstRow="1" w:lastRow="0" w:firstColumn="1" w:lastColumn="0" w:noHBand="0" w:noVBand="1"/>
      </w:tblPr>
      <w:tblGrid>
        <w:gridCol w:w="3325"/>
        <w:gridCol w:w="1260"/>
        <w:gridCol w:w="1170"/>
        <w:gridCol w:w="1620"/>
      </w:tblGrid>
      <w:tr w:rsidR="00B95A24" w14:paraId="792C1653" w14:textId="77777777" w:rsidTr="00441E6F">
        <w:trPr>
          <w:jc w:val="center"/>
        </w:trPr>
        <w:tc>
          <w:tcPr>
            <w:tcW w:w="3325" w:type="dxa"/>
          </w:tcPr>
          <w:p w14:paraId="4BFA6818" w14:textId="0D9ED29E" w:rsidR="00B95A24" w:rsidRDefault="00B95A24"/>
        </w:tc>
        <w:tc>
          <w:tcPr>
            <w:tcW w:w="1260" w:type="dxa"/>
          </w:tcPr>
          <w:p w14:paraId="60784126" w14:textId="07D8A1FB" w:rsidR="00B95A24" w:rsidRDefault="00B95A24">
            <w:r>
              <w:t>New York</w:t>
            </w:r>
          </w:p>
        </w:tc>
        <w:tc>
          <w:tcPr>
            <w:tcW w:w="1170" w:type="dxa"/>
          </w:tcPr>
          <w:p w14:paraId="0068463F" w14:textId="772502E0" w:rsidR="00B95A24" w:rsidRDefault="00B95A24">
            <w:r>
              <w:t>PRM</w:t>
            </w:r>
          </w:p>
        </w:tc>
        <w:tc>
          <w:tcPr>
            <w:tcW w:w="1620" w:type="dxa"/>
          </w:tcPr>
          <w:p w14:paraId="3B5B8088" w14:textId="7E1C9207" w:rsidR="00B95A24" w:rsidRDefault="00B95A24">
            <w:r>
              <w:t>Other Royalties</w:t>
            </w:r>
          </w:p>
        </w:tc>
      </w:tr>
      <w:tr w:rsidR="00B95A24" w14:paraId="1FAE8213" w14:textId="77777777" w:rsidTr="00441E6F">
        <w:trPr>
          <w:jc w:val="center"/>
        </w:trPr>
        <w:tc>
          <w:tcPr>
            <w:tcW w:w="3325" w:type="dxa"/>
          </w:tcPr>
          <w:p w14:paraId="2B6168D0" w14:textId="7086F294" w:rsidR="00B95A24" w:rsidRDefault="00B95A24">
            <w:r>
              <w:t>CCLF</w:t>
            </w:r>
          </w:p>
        </w:tc>
        <w:tc>
          <w:tcPr>
            <w:tcW w:w="1260" w:type="dxa"/>
          </w:tcPr>
          <w:p w14:paraId="52FEB460" w14:textId="5DA5CF15" w:rsidR="00B95A24" w:rsidRDefault="00B95A24" w:rsidP="00441E6F">
            <w:pPr>
              <w:jc w:val="right"/>
            </w:pPr>
            <w:r>
              <w:t>50%</w:t>
            </w:r>
          </w:p>
        </w:tc>
        <w:tc>
          <w:tcPr>
            <w:tcW w:w="1170" w:type="dxa"/>
          </w:tcPr>
          <w:p w14:paraId="105AA54A" w14:textId="48D8B2AC" w:rsidR="00B95A24" w:rsidRDefault="00B95A24" w:rsidP="00441E6F">
            <w:pPr>
              <w:jc w:val="right"/>
            </w:pPr>
            <w:r>
              <w:t>50%</w:t>
            </w:r>
          </w:p>
        </w:tc>
        <w:tc>
          <w:tcPr>
            <w:tcW w:w="1620" w:type="dxa"/>
          </w:tcPr>
          <w:p w14:paraId="0083B645" w14:textId="2C28FC4C" w:rsidR="00B95A24" w:rsidRDefault="00B95A24" w:rsidP="00441E6F">
            <w:pPr>
              <w:jc w:val="right"/>
            </w:pPr>
            <w:r>
              <w:t>0%</w:t>
            </w:r>
          </w:p>
        </w:tc>
      </w:tr>
      <w:tr w:rsidR="00B95A24" w14:paraId="197C8C9D" w14:textId="77777777" w:rsidTr="00441E6F">
        <w:trPr>
          <w:jc w:val="center"/>
        </w:trPr>
        <w:tc>
          <w:tcPr>
            <w:tcW w:w="3325" w:type="dxa"/>
          </w:tcPr>
          <w:p w14:paraId="04C0DFEF" w14:textId="2E922058" w:rsidR="00B95A24" w:rsidRDefault="00B95A24">
            <w:r>
              <w:t>Non-CCLF</w:t>
            </w:r>
          </w:p>
        </w:tc>
        <w:tc>
          <w:tcPr>
            <w:tcW w:w="1260" w:type="dxa"/>
          </w:tcPr>
          <w:p w14:paraId="765B7CCF" w14:textId="510C4DF1" w:rsidR="00B95A24" w:rsidRDefault="00B95A24" w:rsidP="00441E6F">
            <w:pPr>
              <w:jc w:val="right"/>
            </w:pPr>
            <w:r>
              <w:t>10%</w:t>
            </w:r>
          </w:p>
        </w:tc>
        <w:tc>
          <w:tcPr>
            <w:tcW w:w="1170" w:type="dxa"/>
          </w:tcPr>
          <w:p w14:paraId="2ECFF8C0" w14:textId="61418DFA" w:rsidR="00B95A24" w:rsidRDefault="00B95A24" w:rsidP="00441E6F">
            <w:pPr>
              <w:jc w:val="right"/>
            </w:pPr>
            <w:r>
              <w:t>90%</w:t>
            </w:r>
          </w:p>
        </w:tc>
        <w:tc>
          <w:tcPr>
            <w:tcW w:w="1620" w:type="dxa"/>
          </w:tcPr>
          <w:p w14:paraId="7B86B8C9" w14:textId="0ED2322D" w:rsidR="00B95A24" w:rsidRDefault="00B95A24" w:rsidP="00441E6F">
            <w:pPr>
              <w:jc w:val="right"/>
            </w:pPr>
            <w:r>
              <w:t>0%</w:t>
            </w:r>
          </w:p>
        </w:tc>
      </w:tr>
    </w:tbl>
    <w:p w14:paraId="24B63C44" w14:textId="2A23DC53" w:rsidR="00B95A24" w:rsidRDefault="00B95A24"/>
    <w:p w14:paraId="3CC81C24" w14:textId="2AE842C9" w:rsidR="00B95A24" w:rsidRDefault="00B95A24">
      <w:r>
        <w:rPr>
          <w:b/>
        </w:rPr>
        <w:t>Annual Base Data Fees:</w:t>
      </w:r>
    </w:p>
    <w:tbl>
      <w:tblPr>
        <w:tblStyle w:val="TableGrid"/>
        <w:tblW w:w="0" w:type="auto"/>
        <w:jc w:val="center"/>
        <w:tblLook w:val="04A0" w:firstRow="1" w:lastRow="0" w:firstColumn="1" w:lastColumn="0" w:noHBand="0" w:noVBand="1"/>
      </w:tblPr>
      <w:tblGrid>
        <w:gridCol w:w="3325"/>
        <w:gridCol w:w="1260"/>
        <w:gridCol w:w="1149"/>
        <w:gridCol w:w="1707"/>
      </w:tblGrid>
      <w:tr w:rsidR="00B95A24" w14:paraId="1D23E1C3" w14:textId="77777777" w:rsidTr="00441E6F">
        <w:trPr>
          <w:jc w:val="center"/>
        </w:trPr>
        <w:tc>
          <w:tcPr>
            <w:tcW w:w="3325" w:type="dxa"/>
          </w:tcPr>
          <w:p w14:paraId="6FD9B970" w14:textId="77777777" w:rsidR="00B95A24" w:rsidRDefault="00B95A24" w:rsidP="0031207E"/>
        </w:tc>
        <w:tc>
          <w:tcPr>
            <w:tcW w:w="1260" w:type="dxa"/>
          </w:tcPr>
          <w:p w14:paraId="0EAC029D" w14:textId="77777777" w:rsidR="00B95A24" w:rsidRDefault="00B95A24" w:rsidP="0031207E">
            <w:r>
              <w:t>New York</w:t>
            </w:r>
          </w:p>
        </w:tc>
        <w:tc>
          <w:tcPr>
            <w:tcW w:w="1149" w:type="dxa"/>
          </w:tcPr>
          <w:p w14:paraId="77ECFD80" w14:textId="77777777" w:rsidR="00B95A24" w:rsidRDefault="00B95A24" w:rsidP="0031207E">
            <w:r>
              <w:t>PRM</w:t>
            </w:r>
          </w:p>
        </w:tc>
        <w:tc>
          <w:tcPr>
            <w:tcW w:w="1707" w:type="dxa"/>
          </w:tcPr>
          <w:p w14:paraId="59C607BE" w14:textId="77777777" w:rsidR="00B95A24" w:rsidRDefault="00B95A24" w:rsidP="0031207E">
            <w:r>
              <w:t>Other Royalties</w:t>
            </w:r>
          </w:p>
        </w:tc>
      </w:tr>
      <w:tr w:rsidR="00B95A24" w14:paraId="4C7A3DBD" w14:textId="77777777" w:rsidTr="00441E6F">
        <w:trPr>
          <w:jc w:val="center"/>
        </w:trPr>
        <w:tc>
          <w:tcPr>
            <w:tcW w:w="3325" w:type="dxa"/>
          </w:tcPr>
          <w:p w14:paraId="0498B23C" w14:textId="5145C8C1" w:rsidR="00B95A24" w:rsidRPr="00441E6F" w:rsidRDefault="00B95A24" w:rsidP="0031207E">
            <w:pPr>
              <w:rPr>
                <w:color w:val="FF0000"/>
              </w:rPr>
            </w:pPr>
            <w:r w:rsidRPr="00441E6F">
              <w:rPr>
                <w:color w:val="FF0000"/>
              </w:rPr>
              <w:t>Base Processing Fee*</w:t>
            </w:r>
            <w:r w:rsidR="00441E6F" w:rsidRPr="00441E6F">
              <w:rPr>
                <w:color w:val="FF0000"/>
              </w:rPr>
              <w:t xml:space="preserve"> (NY Lead)</w:t>
            </w:r>
          </w:p>
        </w:tc>
        <w:tc>
          <w:tcPr>
            <w:tcW w:w="1260" w:type="dxa"/>
          </w:tcPr>
          <w:p w14:paraId="70FA6AB5" w14:textId="1A632704" w:rsidR="00B95A24" w:rsidRPr="00441E6F" w:rsidRDefault="00441E6F" w:rsidP="00441E6F">
            <w:pPr>
              <w:jc w:val="right"/>
              <w:rPr>
                <w:color w:val="FF0000"/>
              </w:rPr>
            </w:pPr>
            <w:r w:rsidRPr="00441E6F">
              <w:rPr>
                <w:color w:val="FF0000"/>
              </w:rPr>
              <w:t>47.5%</w:t>
            </w:r>
          </w:p>
        </w:tc>
        <w:tc>
          <w:tcPr>
            <w:tcW w:w="1149" w:type="dxa"/>
          </w:tcPr>
          <w:p w14:paraId="51DC8376" w14:textId="4E32DC39" w:rsidR="00B95A24" w:rsidRPr="00441E6F" w:rsidRDefault="00441E6F" w:rsidP="00441E6F">
            <w:pPr>
              <w:jc w:val="right"/>
              <w:rPr>
                <w:color w:val="FF0000"/>
              </w:rPr>
            </w:pPr>
            <w:r w:rsidRPr="00441E6F">
              <w:rPr>
                <w:color w:val="FF0000"/>
              </w:rPr>
              <w:t>52.5%</w:t>
            </w:r>
          </w:p>
        </w:tc>
        <w:tc>
          <w:tcPr>
            <w:tcW w:w="1707" w:type="dxa"/>
          </w:tcPr>
          <w:p w14:paraId="13AC1A50" w14:textId="2EFA1259" w:rsidR="00B95A24" w:rsidRPr="00441E6F" w:rsidRDefault="00441E6F" w:rsidP="00441E6F">
            <w:pPr>
              <w:jc w:val="right"/>
              <w:rPr>
                <w:color w:val="FF0000"/>
              </w:rPr>
            </w:pPr>
            <w:r w:rsidRPr="00441E6F">
              <w:rPr>
                <w:color w:val="FF0000"/>
              </w:rPr>
              <w:t>0%</w:t>
            </w:r>
          </w:p>
        </w:tc>
      </w:tr>
      <w:tr w:rsidR="00441E6F" w14:paraId="1BD8CFB7" w14:textId="77777777" w:rsidTr="00441E6F">
        <w:trPr>
          <w:jc w:val="center"/>
        </w:trPr>
        <w:tc>
          <w:tcPr>
            <w:tcW w:w="3325" w:type="dxa"/>
          </w:tcPr>
          <w:p w14:paraId="57FA2177" w14:textId="7117B01D" w:rsidR="00441E6F" w:rsidRPr="00441E6F" w:rsidRDefault="00441E6F" w:rsidP="00441E6F">
            <w:pPr>
              <w:rPr>
                <w:color w:val="FF0000"/>
              </w:rPr>
            </w:pPr>
            <w:r w:rsidRPr="00441E6F">
              <w:rPr>
                <w:color w:val="FF0000"/>
              </w:rPr>
              <w:t>Base Processing Fee* (PRM Lead)</w:t>
            </w:r>
          </w:p>
        </w:tc>
        <w:tc>
          <w:tcPr>
            <w:tcW w:w="1260" w:type="dxa"/>
          </w:tcPr>
          <w:p w14:paraId="31E2C0AD" w14:textId="1910E5B7" w:rsidR="00441E6F" w:rsidRPr="00441E6F" w:rsidRDefault="00441E6F" w:rsidP="00441E6F">
            <w:pPr>
              <w:jc w:val="right"/>
              <w:rPr>
                <w:color w:val="FF0000"/>
              </w:rPr>
            </w:pPr>
            <w:r w:rsidRPr="00441E6F">
              <w:rPr>
                <w:color w:val="FF0000"/>
              </w:rPr>
              <w:t>32.5%</w:t>
            </w:r>
          </w:p>
        </w:tc>
        <w:tc>
          <w:tcPr>
            <w:tcW w:w="1149" w:type="dxa"/>
          </w:tcPr>
          <w:p w14:paraId="63067CA5" w14:textId="27716F05" w:rsidR="00441E6F" w:rsidRPr="00441E6F" w:rsidRDefault="00441E6F" w:rsidP="00441E6F">
            <w:pPr>
              <w:jc w:val="right"/>
              <w:rPr>
                <w:color w:val="FF0000"/>
              </w:rPr>
            </w:pPr>
            <w:r w:rsidRPr="00441E6F">
              <w:rPr>
                <w:color w:val="FF0000"/>
              </w:rPr>
              <w:t>67.5%</w:t>
            </w:r>
          </w:p>
        </w:tc>
        <w:tc>
          <w:tcPr>
            <w:tcW w:w="1707" w:type="dxa"/>
          </w:tcPr>
          <w:p w14:paraId="0AE8B0F1" w14:textId="2D82C077" w:rsidR="00441E6F" w:rsidRPr="00441E6F" w:rsidRDefault="00441E6F" w:rsidP="00441E6F">
            <w:pPr>
              <w:jc w:val="right"/>
              <w:rPr>
                <w:color w:val="FF0000"/>
              </w:rPr>
            </w:pPr>
            <w:r w:rsidRPr="00441E6F">
              <w:rPr>
                <w:color w:val="FF0000"/>
              </w:rPr>
              <w:t>0%</w:t>
            </w:r>
          </w:p>
        </w:tc>
      </w:tr>
      <w:tr w:rsidR="00B95A24" w14:paraId="089825CE" w14:textId="77777777" w:rsidTr="00441E6F">
        <w:trPr>
          <w:jc w:val="center"/>
        </w:trPr>
        <w:tc>
          <w:tcPr>
            <w:tcW w:w="3325" w:type="dxa"/>
          </w:tcPr>
          <w:p w14:paraId="089F4ADD" w14:textId="60E5121B" w:rsidR="00B95A24" w:rsidRDefault="00B95A24" w:rsidP="0031207E">
            <w:r>
              <w:t>HCC Risk Scores</w:t>
            </w:r>
          </w:p>
        </w:tc>
        <w:tc>
          <w:tcPr>
            <w:tcW w:w="1260" w:type="dxa"/>
          </w:tcPr>
          <w:p w14:paraId="6207B389" w14:textId="33179D70" w:rsidR="00B95A24" w:rsidRDefault="00441E6F" w:rsidP="00441E6F">
            <w:pPr>
              <w:jc w:val="right"/>
            </w:pPr>
            <w:r>
              <w:t>10%</w:t>
            </w:r>
          </w:p>
        </w:tc>
        <w:tc>
          <w:tcPr>
            <w:tcW w:w="1149" w:type="dxa"/>
          </w:tcPr>
          <w:p w14:paraId="5C7F71E6" w14:textId="654649CD" w:rsidR="00B95A24" w:rsidRDefault="00441E6F" w:rsidP="00441E6F">
            <w:pPr>
              <w:jc w:val="right"/>
            </w:pPr>
            <w:r>
              <w:t>90%</w:t>
            </w:r>
          </w:p>
        </w:tc>
        <w:tc>
          <w:tcPr>
            <w:tcW w:w="1707" w:type="dxa"/>
          </w:tcPr>
          <w:p w14:paraId="20416A4F" w14:textId="5515078A" w:rsidR="00B95A24" w:rsidRDefault="00441E6F" w:rsidP="00441E6F">
            <w:pPr>
              <w:jc w:val="right"/>
            </w:pPr>
            <w:r>
              <w:t>0%</w:t>
            </w:r>
          </w:p>
        </w:tc>
      </w:tr>
      <w:tr w:rsidR="00B95A24" w14:paraId="4494A278" w14:textId="77777777" w:rsidTr="00441E6F">
        <w:trPr>
          <w:jc w:val="center"/>
        </w:trPr>
        <w:tc>
          <w:tcPr>
            <w:tcW w:w="3325" w:type="dxa"/>
          </w:tcPr>
          <w:p w14:paraId="604B0CA5" w14:textId="0D97CA32" w:rsidR="00B95A24" w:rsidRDefault="00B95A24" w:rsidP="0031207E">
            <w:r>
              <w:t>HCG Benchmarks</w:t>
            </w:r>
          </w:p>
        </w:tc>
        <w:tc>
          <w:tcPr>
            <w:tcW w:w="1260" w:type="dxa"/>
          </w:tcPr>
          <w:p w14:paraId="3A310476" w14:textId="14A35F2E" w:rsidR="00B95A24" w:rsidRDefault="00441E6F" w:rsidP="00441E6F">
            <w:pPr>
              <w:jc w:val="right"/>
            </w:pPr>
            <w:r>
              <w:t>45%</w:t>
            </w:r>
          </w:p>
        </w:tc>
        <w:tc>
          <w:tcPr>
            <w:tcW w:w="1149" w:type="dxa"/>
          </w:tcPr>
          <w:p w14:paraId="0584F9A3" w14:textId="3CE446A9" w:rsidR="00B95A24" w:rsidRDefault="00441E6F" w:rsidP="00441E6F">
            <w:pPr>
              <w:jc w:val="right"/>
            </w:pPr>
            <w:r>
              <w:t>45%</w:t>
            </w:r>
          </w:p>
        </w:tc>
        <w:tc>
          <w:tcPr>
            <w:tcW w:w="1707" w:type="dxa"/>
          </w:tcPr>
          <w:p w14:paraId="5969A2BA" w14:textId="00362121" w:rsidR="00B95A24" w:rsidRDefault="00441E6F" w:rsidP="00441E6F">
            <w:pPr>
              <w:jc w:val="right"/>
            </w:pPr>
            <w:r>
              <w:t>10%</w:t>
            </w:r>
          </w:p>
        </w:tc>
      </w:tr>
      <w:tr w:rsidR="00B95A24" w14:paraId="30FFE525" w14:textId="77777777" w:rsidTr="00441E6F">
        <w:trPr>
          <w:jc w:val="center"/>
        </w:trPr>
        <w:tc>
          <w:tcPr>
            <w:tcW w:w="3325" w:type="dxa"/>
          </w:tcPr>
          <w:p w14:paraId="2762B5BA" w14:textId="0BC0F822" w:rsidR="00B95A24" w:rsidRDefault="00B95A24" w:rsidP="0031207E">
            <w:r>
              <w:t>PAC/Grouping/Benchmarks</w:t>
            </w:r>
          </w:p>
        </w:tc>
        <w:tc>
          <w:tcPr>
            <w:tcW w:w="1260" w:type="dxa"/>
          </w:tcPr>
          <w:p w14:paraId="10E261D6" w14:textId="5048B583" w:rsidR="00B95A24" w:rsidRDefault="00441E6F" w:rsidP="00441E6F">
            <w:pPr>
              <w:jc w:val="right"/>
            </w:pPr>
            <w:r>
              <w:t>90%</w:t>
            </w:r>
          </w:p>
        </w:tc>
        <w:tc>
          <w:tcPr>
            <w:tcW w:w="1149" w:type="dxa"/>
          </w:tcPr>
          <w:p w14:paraId="57D00A3C" w14:textId="703A0B1B" w:rsidR="00B95A24" w:rsidRDefault="00441E6F" w:rsidP="00441E6F">
            <w:pPr>
              <w:jc w:val="right"/>
            </w:pPr>
            <w:r>
              <w:t>10%</w:t>
            </w:r>
          </w:p>
        </w:tc>
        <w:tc>
          <w:tcPr>
            <w:tcW w:w="1707" w:type="dxa"/>
          </w:tcPr>
          <w:p w14:paraId="6325822D" w14:textId="6C56B018" w:rsidR="00B95A24" w:rsidRDefault="00441E6F" w:rsidP="00441E6F">
            <w:pPr>
              <w:jc w:val="right"/>
            </w:pPr>
            <w:r>
              <w:t>0%</w:t>
            </w:r>
          </w:p>
        </w:tc>
      </w:tr>
      <w:tr w:rsidR="00B95A24" w14:paraId="527E3510" w14:textId="77777777" w:rsidTr="00441E6F">
        <w:trPr>
          <w:jc w:val="center"/>
        </w:trPr>
        <w:tc>
          <w:tcPr>
            <w:tcW w:w="3325" w:type="dxa"/>
          </w:tcPr>
          <w:p w14:paraId="7A00635A" w14:textId="2EAE8DD6" w:rsidR="00B95A24" w:rsidRPr="00441E6F" w:rsidRDefault="00B95A24" w:rsidP="0031207E">
            <w:pPr>
              <w:rPr>
                <w:color w:val="FF0000"/>
              </w:rPr>
            </w:pPr>
            <w:r w:rsidRPr="00441E6F">
              <w:rPr>
                <w:color w:val="FF0000"/>
              </w:rPr>
              <w:t>Key Claims Metrics</w:t>
            </w:r>
          </w:p>
        </w:tc>
        <w:tc>
          <w:tcPr>
            <w:tcW w:w="1260" w:type="dxa"/>
          </w:tcPr>
          <w:p w14:paraId="7BF07C10" w14:textId="65B3FEA7" w:rsidR="00B95A24" w:rsidRPr="00441E6F" w:rsidRDefault="00441E6F" w:rsidP="00441E6F">
            <w:pPr>
              <w:jc w:val="right"/>
              <w:rPr>
                <w:color w:val="FF0000"/>
              </w:rPr>
            </w:pPr>
            <w:r w:rsidRPr="00441E6F">
              <w:rPr>
                <w:color w:val="FF0000"/>
              </w:rPr>
              <w:t>65%</w:t>
            </w:r>
          </w:p>
        </w:tc>
        <w:tc>
          <w:tcPr>
            <w:tcW w:w="1149" w:type="dxa"/>
          </w:tcPr>
          <w:p w14:paraId="53D46221" w14:textId="156D1D17" w:rsidR="00B95A24" w:rsidRPr="00441E6F" w:rsidRDefault="00441E6F" w:rsidP="00441E6F">
            <w:pPr>
              <w:jc w:val="right"/>
              <w:rPr>
                <w:color w:val="FF0000"/>
              </w:rPr>
            </w:pPr>
            <w:r w:rsidRPr="00441E6F">
              <w:rPr>
                <w:color w:val="FF0000"/>
              </w:rPr>
              <w:t>35%</w:t>
            </w:r>
          </w:p>
        </w:tc>
        <w:tc>
          <w:tcPr>
            <w:tcW w:w="1707" w:type="dxa"/>
          </w:tcPr>
          <w:p w14:paraId="15C5709F" w14:textId="3BCEDB3E" w:rsidR="00B95A24" w:rsidRPr="00441E6F" w:rsidRDefault="00441E6F" w:rsidP="00441E6F">
            <w:pPr>
              <w:jc w:val="right"/>
              <w:rPr>
                <w:color w:val="FF0000"/>
              </w:rPr>
            </w:pPr>
            <w:r w:rsidRPr="00441E6F">
              <w:rPr>
                <w:color w:val="FF0000"/>
              </w:rPr>
              <w:t>0%</w:t>
            </w:r>
          </w:p>
        </w:tc>
      </w:tr>
      <w:tr w:rsidR="00B95A24" w14:paraId="150FBCF9" w14:textId="77777777" w:rsidTr="00441E6F">
        <w:trPr>
          <w:jc w:val="center"/>
        </w:trPr>
        <w:tc>
          <w:tcPr>
            <w:tcW w:w="3325" w:type="dxa"/>
          </w:tcPr>
          <w:p w14:paraId="069927BC" w14:textId="5F384B20" w:rsidR="00B95A24" w:rsidRPr="00441E6F" w:rsidRDefault="00B95A24" w:rsidP="0031207E">
            <w:pPr>
              <w:rPr>
                <w:color w:val="FF0000"/>
              </w:rPr>
            </w:pPr>
            <w:r w:rsidRPr="00441E6F">
              <w:rPr>
                <w:color w:val="FF0000"/>
              </w:rPr>
              <w:t>Medical Conditions</w:t>
            </w:r>
          </w:p>
        </w:tc>
        <w:tc>
          <w:tcPr>
            <w:tcW w:w="1260" w:type="dxa"/>
          </w:tcPr>
          <w:p w14:paraId="3C95FD49" w14:textId="111B9ED8" w:rsidR="00B95A24" w:rsidRPr="00441E6F" w:rsidRDefault="00441E6F" w:rsidP="00441E6F">
            <w:pPr>
              <w:jc w:val="right"/>
              <w:rPr>
                <w:color w:val="FF0000"/>
              </w:rPr>
            </w:pPr>
            <w:r w:rsidRPr="00441E6F">
              <w:rPr>
                <w:color w:val="FF0000"/>
              </w:rPr>
              <w:t>90%</w:t>
            </w:r>
          </w:p>
        </w:tc>
        <w:tc>
          <w:tcPr>
            <w:tcW w:w="1149" w:type="dxa"/>
          </w:tcPr>
          <w:p w14:paraId="6122B6E1" w14:textId="7C8E9821" w:rsidR="00B95A24" w:rsidRPr="00441E6F" w:rsidRDefault="00441E6F" w:rsidP="00441E6F">
            <w:pPr>
              <w:jc w:val="right"/>
              <w:rPr>
                <w:color w:val="FF0000"/>
              </w:rPr>
            </w:pPr>
            <w:r w:rsidRPr="00441E6F">
              <w:rPr>
                <w:color w:val="FF0000"/>
              </w:rPr>
              <w:t>10%</w:t>
            </w:r>
          </w:p>
        </w:tc>
        <w:tc>
          <w:tcPr>
            <w:tcW w:w="1707" w:type="dxa"/>
          </w:tcPr>
          <w:p w14:paraId="0BCEBC05" w14:textId="79C3AC85" w:rsidR="00B95A24" w:rsidRPr="00441E6F" w:rsidRDefault="00441E6F" w:rsidP="00441E6F">
            <w:pPr>
              <w:jc w:val="right"/>
              <w:rPr>
                <w:color w:val="FF0000"/>
              </w:rPr>
            </w:pPr>
            <w:r w:rsidRPr="00441E6F">
              <w:rPr>
                <w:color w:val="FF0000"/>
              </w:rPr>
              <w:t>0%</w:t>
            </w:r>
          </w:p>
        </w:tc>
      </w:tr>
      <w:tr w:rsidR="00B95A24" w14:paraId="30EDA89A" w14:textId="77777777" w:rsidTr="00441E6F">
        <w:trPr>
          <w:jc w:val="center"/>
        </w:trPr>
        <w:tc>
          <w:tcPr>
            <w:tcW w:w="3325" w:type="dxa"/>
          </w:tcPr>
          <w:p w14:paraId="549F43BA" w14:textId="075EC83E" w:rsidR="00B95A24" w:rsidRDefault="00B95A24" w:rsidP="0031207E">
            <w:r>
              <w:t>PRM Opportunity Scores</w:t>
            </w:r>
          </w:p>
        </w:tc>
        <w:tc>
          <w:tcPr>
            <w:tcW w:w="1260" w:type="dxa"/>
          </w:tcPr>
          <w:p w14:paraId="7CF61D5E" w14:textId="7752C193" w:rsidR="00B95A24" w:rsidRDefault="00441E6F" w:rsidP="00441E6F">
            <w:pPr>
              <w:jc w:val="right"/>
            </w:pPr>
            <w:r>
              <w:t>10%</w:t>
            </w:r>
          </w:p>
        </w:tc>
        <w:tc>
          <w:tcPr>
            <w:tcW w:w="1149" w:type="dxa"/>
          </w:tcPr>
          <w:p w14:paraId="08D1A772" w14:textId="6926EB45" w:rsidR="00B95A24" w:rsidRDefault="00441E6F" w:rsidP="00441E6F">
            <w:pPr>
              <w:jc w:val="right"/>
            </w:pPr>
            <w:r>
              <w:t>90%</w:t>
            </w:r>
          </w:p>
        </w:tc>
        <w:tc>
          <w:tcPr>
            <w:tcW w:w="1707" w:type="dxa"/>
          </w:tcPr>
          <w:p w14:paraId="6E118379" w14:textId="45E612AC" w:rsidR="00B95A24" w:rsidRDefault="00441E6F" w:rsidP="00441E6F">
            <w:pPr>
              <w:jc w:val="right"/>
            </w:pPr>
            <w:r>
              <w:t>0%</w:t>
            </w:r>
          </w:p>
        </w:tc>
      </w:tr>
      <w:tr w:rsidR="00B95A24" w14:paraId="2C1C9E23" w14:textId="77777777" w:rsidTr="00441E6F">
        <w:trPr>
          <w:jc w:val="center"/>
        </w:trPr>
        <w:tc>
          <w:tcPr>
            <w:tcW w:w="3325" w:type="dxa"/>
          </w:tcPr>
          <w:p w14:paraId="0E5343F4" w14:textId="716B635C" w:rsidR="00B95A24" w:rsidRDefault="00B95A24" w:rsidP="0031207E">
            <w:r>
              <w:t>PRM Conditions to Consider</w:t>
            </w:r>
          </w:p>
        </w:tc>
        <w:tc>
          <w:tcPr>
            <w:tcW w:w="1260" w:type="dxa"/>
          </w:tcPr>
          <w:p w14:paraId="2B629F2A" w14:textId="317779AC" w:rsidR="00B95A24" w:rsidRDefault="00441E6F" w:rsidP="00441E6F">
            <w:pPr>
              <w:jc w:val="right"/>
            </w:pPr>
            <w:r>
              <w:t>10%</w:t>
            </w:r>
          </w:p>
        </w:tc>
        <w:tc>
          <w:tcPr>
            <w:tcW w:w="1149" w:type="dxa"/>
          </w:tcPr>
          <w:p w14:paraId="0180D897" w14:textId="24130410" w:rsidR="00B95A24" w:rsidRDefault="00441E6F" w:rsidP="00441E6F">
            <w:pPr>
              <w:jc w:val="right"/>
            </w:pPr>
            <w:r>
              <w:t>90%</w:t>
            </w:r>
          </w:p>
        </w:tc>
        <w:tc>
          <w:tcPr>
            <w:tcW w:w="1707" w:type="dxa"/>
          </w:tcPr>
          <w:p w14:paraId="4701D386" w14:textId="39624E4B" w:rsidR="00B95A24" w:rsidRDefault="00441E6F" w:rsidP="00441E6F">
            <w:pPr>
              <w:jc w:val="right"/>
            </w:pPr>
            <w:r>
              <w:t>0%</w:t>
            </w:r>
          </w:p>
        </w:tc>
      </w:tr>
      <w:tr w:rsidR="00441E6F" w14:paraId="280EC2B0" w14:textId="77777777" w:rsidTr="00441E6F">
        <w:trPr>
          <w:jc w:val="center"/>
        </w:trPr>
        <w:tc>
          <w:tcPr>
            <w:tcW w:w="3325" w:type="dxa"/>
          </w:tcPr>
          <w:p w14:paraId="0C4DD606" w14:textId="63F757AD" w:rsidR="00441E6F" w:rsidRDefault="00441E6F" w:rsidP="0031207E">
            <w:r>
              <w:t>PRM Medicare ACO Analytics</w:t>
            </w:r>
          </w:p>
        </w:tc>
        <w:tc>
          <w:tcPr>
            <w:tcW w:w="1260" w:type="dxa"/>
          </w:tcPr>
          <w:p w14:paraId="211853D7" w14:textId="6B75058E" w:rsidR="00441E6F" w:rsidRDefault="00441E6F" w:rsidP="00441E6F">
            <w:pPr>
              <w:jc w:val="right"/>
            </w:pPr>
            <w:r>
              <w:t>10%</w:t>
            </w:r>
          </w:p>
        </w:tc>
        <w:tc>
          <w:tcPr>
            <w:tcW w:w="1149" w:type="dxa"/>
          </w:tcPr>
          <w:p w14:paraId="3D55174B" w14:textId="7EB0910C" w:rsidR="00441E6F" w:rsidRDefault="00441E6F" w:rsidP="00441E6F">
            <w:pPr>
              <w:jc w:val="right"/>
            </w:pPr>
            <w:r>
              <w:t>90%</w:t>
            </w:r>
          </w:p>
        </w:tc>
        <w:tc>
          <w:tcPr>
            <w:tcW w:w="1707" w:type="dxa"/>
          </w:tcPr>
          <w:p w14:paraId="046B6BAF" w14:textId="045F4F7F" w:rsidR="00441E6F" w:rsidRDefault="00441E6F" w:rsidP="00441E6F">
            <w:pPr>
              <w:jc w:val="right"/>
            </w:pPr>
            <w:r>
              <w:t>0%</w:t>
            </w:r>
          </w:p>
        </w:tc>
      </w:tr>
    </w:tbl>
    <w:p w14:paraId="2B56E17A" w14:textId="1830205E" w:rsidR="00B95A24" w:rsidRDefault="00441E6F" w:rsidP="006340C2">
      <w:pPr>
        <w:ind w:left="1440"/>
      </w:pPr>
      <w:r w:rsidRPr="006431C0">
        <w:rPr>
          <w:color w:val="FF0000"/>
        </w:rPr>
        <w:t xml:space="preserve">*Lead for a given client </w:t>
      </w:r>
      <w:proofErr w:type="gramStart"/>
      <w:r w:rsidRPr="006431C0">
        <w:rPr>
          <w:color w:val="FF0000"/>
        </w:rPr>
        <w:t>is determined</w:t>
      </w:r>
      <w:proofErr w:type="gramEnd"/>
      <w:r w:rsidRPr="006431C0">
        <w:rPr>
          <w:color w:val="FF0000"/>
        </w:rPr>
        <w:t xml:space="preserve"> by which practice receives the most product revenue</w:t>
      </w:r>
      <w:r w:rsidR="00324B94">
        <w:rPr>
          <w:color w:val="FF0000"/>
        </w:rPr>
        <w:t xml:space="preserve"> </w:t>
      </w:r>
      <w:r w:rsidR="006340C2">
        <w:rPr>
          <w:color w:val="FF0000"/>
        </w:rPr>
        <w:t>u</w:t>
      </w:r>
      <w:r w:rsidR="00324B94">
        <w:rPr>
          <w:color w:val="FF0000"/>
        </w:rPr>
        <w:t>nless otherwise agreed upon</w:t>
      </w:r>
      <w:r w:rsidR="006340C2">
        <w:rPr>
          <w:color w:val="FF0000"/>
        </w:rPr>
        <w:t>.</w:t>
      </w:r>
    </w:p>
    <w:p w14:paraId="0A3C2305" w14:textId="39090AB7" w:rsidR="00441E6F" w:rsidRDefault="00441E6F">
      <w:r>
        <w:rPr>
          <w:b/>
        </w:rPr>
        <w:t>Annual Product Fees:</w:t>
      </w:r>
    </w:p>
    <w:tbl>
      <w:tblPr>
        <w:tblStyle w:val="TableGrid"/>
        <w:tblW w:w="0" w:type="auto"/>
        <w:jc w:val="center"/>
        <w:tblLook w:val="04A0" w:firstRow="1" w:lastRow="0" w:firstColumn="1" w:lastColumn="0" w:noHBand="0" w:noVBand="1"/>
      </w:tblPr>
      <w:tblGrid>
        <w:gridCol w:w="3325"/>
        <w:gridCol w:w="1260"/>
        <w:gridCol w:w="1149"/>
        <w:gridCol w:w="1707"/>
      </w:tblGrid>
      <w:tr w:rsidR="00441E6F" w14:paraId="0532E8FE" w14:textId="77777777" w:rsidTr="0031207E">
        <w:trPr>
          <w:jc w:val="center"/>
        </w:trPr>
        <w:tc>
          <w:tcPr>
            <w:tcW w:w="3325" w:type="dxa"/>
          </w:tcPr>
          <w:p w14:paraId="4E1CA0D0" w14:textId="77777777" w:rsidR="00441E6F" w:rsidRDefault="00441E6F" w:rsidP="0031207E"/>
        </w:tc>
        <w:tc>
          <w:tcPr>
            <w:tcW w:w="1260" w:type="dxa"/>
          </w:tcPr>
          <w:p w14:paraId="3B523510" w14:textId="77777777" w:rsidR="00441E6F" w:rsidRDefault="00441E6F" w:rsidP="0031207E">
            <w:r>
              <w:t>New York</w:t>
            </w:r>
          </w:p>
        </w:tc>
        <w:tc>
          <w:tcPr>
            <w:tcW w:w="1149" w:type="dxa"/>
          </w:tcPr>
          <w:p w14:paraId="5BCA770F" w14:textId="77777777" w:rsidR="00441E6F" w:rsidRDefault="00441E6F" w:rsidP="0031207E">
            <w:r>
              <w:t>PRM</w:t>
            </w:r>
          </w:p>
        </w:tc>
        <w:tc>
          <w:tcPr>
            <w:tcW w:w="1707" w:type="dxa"/>
          </w:tcPr>
          <w:p w14:paraId="014668E6" w14:textId="77777777" w:rsidR="00441E6F" w:rsidRDefault="00441E6F" w:rsidP="0031207E">
            <w:r>
              <w:t>Other Royalties</w:t>
            </w:r>
          </w:p>
        </w:tc>
      </w:tr>
      <w:tr w:rsidR="00441E6F" w14:paraId="42DC3EA5" w14:textId="77777777" w:rsidTr="0031207E">
        <w:trPr>
          <w:jc w:val="center"/>
        </w:trPr>
        <w:tc>
          <w:tcPr>
            <w:tcW w:w="3325" w:type="dxa"/>
          </w:tcPr>
          <w:p w14:paraId="0D211CEA" w14:textId="310489F8" w:rsidR="00441E6F" w:rsidRDefault="00441E6F" w:rsidP="0031207E">
            <w:r>
              <w:t>ACO Insight – Basic</w:t>
            </w:r>
          </w:p>
        </w:tc>
        <w:tc>
          <w:tcPr>
            <w:tcW w:w="1260" w:type="dxa"/>
          </w:tcPr>
          <w:p w14:paraId="4A5EE44D" w14:textId="1A060BA2" w:rsidR="00441E6F" w:rsidRDefault="00441E6F" w:rsidP="0031207E">
            <w:pPr>
              <w:jc w:val="right"/>
            </w:pPr>
            <w:r>
              <w:t>90%</w:t>
            </w:r>
          </w:p>
        </w:tc>
        <w:tc>
          <w:tcPr>
            <w:tcW w:w="1149" w:type="dxa"/>
          </w:tcPr>
          <w:p w14:paraId="35694DBF" w14:textId="36CD0165" w:rsidR="00441E6F" w:rsidRDefault="00441E6F" w:rsidP="0031207E">
            <w:pPr>
              <w:jc w:val="right"/>
            </w:pPr>
            <w:r>
              <w:t>10%</w:t>
            </w:r>
          </w:p>
        </w:tc>
        <w:tc>
          <w:tcPr>
            <w:tcW w:w="1707" w:type="dxa"/>
          </w:tcPr>
          <w:p w14:paraId="23D87A65" w14:textId="6D11874D" w:rsidR="00441E6F" w:rsidRDefault="00441E6F" w:rsidP="0031207E">
            <w:pPr>
              <w:jc w:val="right"/>
            </w:pPr>
            <w:r>
              <w:t>0%</w:t>
            </w:r>
          </w:p>
        </w:tc>
      </w:tr>
      <w:tr w:rsidR="00441E6F" w14:paraId="00BD20C0" w14:textId="77777777" w:rsidTr="0031207E">
        <w:trPr>
          <w:jc w:val="center"/>
        </w:trPr>
        <w:tc>
          <w:tcPr>
            <w:tcW w:w="3325" w:type="dxa"/>
          </w:tcPr>
          <w:p w14:paraId="165C247F" w14:textId="20602693" w:rsidR="00441E6F" w:rsidRDefault="00441E6F" w:rsidP="0031207E">
            <w:r>
              <w:t>ACO Insight – Enhanced</w:t>
            </w:r>
          </w:p>
        </w:tc>
        <w:tc>
          <w:tcPr>
            <w:tcW w:w="1260" w:type="dxa"/>
          </w:tcPr>
          <w:p w14:paraId="67F0ECD5" w14:textId="2EABE00B" w:rsidR="00441E6F" w:rsidRDefault="00441E6F" w:rsidP="0031207E">
            <w:pPr>
              <w:jc w:val="right"/>
            </w:pPr>
            <w:r>
              <w:t>90%</w:t>
            </w:r>
          </w:p>
        </w:tc>
        <w:tc>
          <w:tcPr>
            <w:tcW w:w="1149" w:type="dxa"/>
          </w:tcPr>
          <w:p w14:paraId="20BA9946" w14:textId="0CB4BF63" w:rsidR="00441E6F" w:rsidRDefault="00441E6F" w:rsidP="0031207E">
            <w:pPr>
              <w:jc w:val="right"/>
            </w:pPr>
            <w:r>
              <w:t>10%</w:t>
            </w:r>
          </w:p>
        </w:tc>
        <w:tc>
          <w:tcPr>
            <w:tcW w:w="1707" w:type="dxa"/>
          </w:tcPr>
          <w:p w14:paraId="3196C981" w14:textId="7432676F" w:rsidR="00441E6F" w:rsidRDefault="00441E6F" w:rsidP="0031207E">
            <w:pPr>
              <w:jc w:val="right"/>
            </w:pPr>
            <w:r>
              <w:t>0%</w:t>
            </w:r>
          </w:p>
        </w:tc>
      </w:tr>
      <w:tr w:rsidR="00441E6F" w14:paraId="6B919BAA" w14:textId="77777777" w:rsidTr="0031207E">
        <w:trPr>
          <w:jc w:val="center"/>
        </w:trPr>
        <w:tc>
          <w:tcPr>
            <w:tcW w:w="3325" w:type="dxa"/>
          </w:tcPr>
          <w:p w14:paraId="202EAF13" w14:textId="3ECF35B8" w:rsidR="00441E6F" w:rsidRPr="00441E6F" w:rsidRDefault="00441E6F" w:rsidP="0031207E">
            <w:pPr>
              <w:rPr>
                <w:color w:val="FF0000"/>
              </w:rPr>
            </w:pPr>
            <w:r w:rsidRPr="00441E6F">
              <w:rPr>
                <w:color w:val="FF0000"/>
              </w:rPr>
              <w:t>DataMart</w:t>
            </w:r>
          </w:p>
        </w:tc>
        <w:tc>
          <w:tcPr>
            <w:tcW w:w="1260" w:type="dxa"/>
          </w:tcPr>
          <w:p w14:paraId="39FF296B" w14:textId="1C0C7343" w:rsidR="00441E6F" w:rsidRPr="00441E6F" w:rsidRDefault="00441E6F" w:rsidP="0031207E">
            <w:pPr>
              <w:jc w:val="right"/>
              <w:rPr>
                <w:color w:val="FF0000"/>
              </w:rPr>
            </w:pPr>
            <w:r w:rsidRPr="00441E6F">
              <w:rPr>
                <w:color w:val="FF0000"/>
              </w:rPr>
              <w:t>10%</w:t>
            </w:r>
          </w:p>
        </w:tc>
        <w:tc>
          <w:tcPr>
            <w:tcW w:w="1149" w:type="dxa"/>
          </w:tcPr>
          <w:p w14:paraId="0CE4CC95" w14:textId="7DDCE452" w:rsidR="00441E6F" w:rsidRPr="00441E6F" w:rsidRDefault="00441E6F" w:rsidP="0031207E">
            <w:pPr>
              <w:jc w:val="right"/>
              <w:rPr>
                <w:color w:val="FF0000"/>
              </w:rPr>
            </w:pPr>
            <w:r w:rsidRPr="00441E6F">
              <w:rPr>
                <w:color w:val="FF0000"/>
              </w:rPr>
              <w:t>90%</w:t>
            </w:r>
          </w:p>
        </w:tc>
        <w:tc>
          <w:tcPr>
            <w:tcW w:w="1707" w:type="dxa"/>
          </w:tcPr>
          <w:p w14:paraId="40893A62" w14:textId="22795BD9" w:rsidR="00441E6F" w:rsidRPr="00441E6F" w:rsidRDefault="00441E6F" w:rsidP="0031207E">
            <w:pPr>
              <w:jc w:val="right"/>
              <w:rPr>
                <w:color w:val="FF0000"/>
              </w:rPr>
            </w:pPr>
            <w:r w:rsidRPr="00441E6F">
              <w:rPr>
                <w:color w:val="FF0000"/>
              </w:rPr>
              <w:t>0%</w:t>
            </w:r>
          </w:p>
        </w:tc>
      </w:tr>
      <w:tr w:rsidR="00441E6F" w14:paraId="2020967B" w14:textId="77777777" w:rsidTr="0031207E">
        <w:trPr>
          <w:jc w:val="center"/>
        </w:trPr>
        <w:tc>
          <w:tcPr>
            <w:tcW w:w="3325" w:type="dxa"/>
          </w:tcPr>
          <w:p w14:paraId="729E12C7" w14:textId="77096F34" w:rsidR="00441E6F" w:rsidRDefault="00441E6F" w:rsidP="0031207E">
            <w:r>
              <w:t>PRM Care Coordinator Report</w:t>
            </w:r>
          </w:p>
        </w:tc>
        <w:tc>
          <w:tcPr>
            <w:tcW w:w="1260" w:type="dxa"/>
          </w:tcPr>
          <w:p w14:paraId="354362DE" w14:textId="0FF55992" w:rsidR="00441E6F" w:rsidRDefault="00441E6F" w:rsidP="0031207E">
            <w:pPr>
              <w:jc w:val="right"/>
            </w:pPr>
            <w:r>
              <w:t>10%</w:t>
            </w:r>
          </w:p>
        </w:tc>
        <w:tc>
          <w:tcPr>
            <w:tcW w:w="1149" w:type="dxa"/>
          </w:tcPr>
          <w:p w14:paraId="7534A65A" w14:textId="0CE9B13E" w:rsidR="00441E6F" w:rsidRDefault="00441E6F" w:rsidP="0031207E">
            <w:pPr>
              <w:jc w:val="right"/>
            </w:pPr>
            <w:r>
              <w:t>90%</w:t>
            </w:r>
          </w:p>
        </w:tc>
        <w:tc>
          <w:tcPr>
            <w:tcW w:w="1707" w:type="dxa"/>
          </w:tcPr>
          <w:p w14:paraId="7FDEC460" w14:textId="17BDCADF" w:rsidR="00441E6F" w:rsidRDefault="00441E6F" w:rsidP="0031207E">
            <w:pPr>
              <w:jc w:val="right"/>
            </w:pPr>
            <w:r>
              <w:t>0%</w:t>
            </w:r>
          </w:p>
        </w:tc>
      </w:tr>
      <w:tr w:rsidR="00441E6F" w14:paraId="118142A4" w14:textId="77777777" w:rsidTr="0031207E">
        <w:trPr>
          <w:jc w:val="center"/>
        </w:trPr>
        <w:tc>
          <w:tcPr>
            <w:tcW w:w="3325" w:type="dxa"/>
          </w:tcPr>
          <w:p w14:paraId="1D39AD0D" w14:textId="20B7855C" w:rsidR="00441E6F" w:rsidRDefault="00441E6F" w:rsidP="0031207E">
            <w:r>
              <w:t>PRM Physician Risk and Credibility Adjusted Report</w:t>
            </w:r>
          </w:p>
        </w:tc>
        <w:tc>
          <w:tcPr>
            <w:tcW w:w="1260" w:type="dxa"/>
          </w:tcPr>
          <w:p w14:paraId="48B08052" w14:textId="362A9A65" w:rsidR="00441E6F" w:rsidRDefault="00441E6F" w:rsidP="0031207E">
            <w:pPr>
              <w:jc w:val="right"/>
            </w:pPr>
            <w:r>
              <w:t>10%</w:t>
            </w:r>
          </w:p>
        </w:tc>
        <w:tc>
          <w:tcPr>
            <w:tcW w:w="1149" w:type="dxa"/>
          </w:tcPr>
          <w:p w14:paraId="3637B743" w14:textId="3D366803" w:rsidR="00441E6F" w:rsidRDefault="00441E6F" w:rsidP="0031207E">
            <w:pPr>
              <w:jc w:val="right"/>
            </w:pPr>
            <w:r>
              <w:t>90%</w:t>
            </w:r>
          </w:p>
        </w:tc>
        <w:tc>
          <w:tcPr>
            <w:tcW w:w="1707" w:type="dxa"/>
          </w:tcPr>
          <w:p w14:paraId="127E4748" w14:textId="077A411F" w:rsidR="00441E6F" w:rsidRDefault="00441E6F" w:rsidP="0031207E">
            <w:pPr>
              <w:jc w:val="right"/>
            </w:pPr>
            <w:r>
              <w:t>0%</w:t>
            </w:r>
          </w:p>
        </w:tc>
      </w:tr>
      <w:tr w:rsidR="00441E6F" w14:paraId="638A4277" w14:textId="77777777" w:rsidTr="0031207E">
        <w:trPr>
          <w:jc w:val="center"/>
        </w:trPr>
        <w:tc>
          <w:tcPr>
            <w:tcW w:w="3325" w:type="dxa"/>
          </w:tcPr>
          <w:p w14:paraId="26E64ADF" w14:textId="22EB899A" w:rsidR="00441E6F" w:rsidRDefault="00441E6F" w:rsidP="0031207E">
            <w:r>
              <w:t>PRM Patient Flow</w:t>
            </w:r>
          </w:p>
        </w:tc>
        <w:tc>
          <w:tcPr>
            <w:tcW w:w="1260" w:type="dxa"/>
          </w:tcPr>
          <w:p w14:paraId="6BD316D0" w14:textId="54B20FC9" w:rsidR="00441E6F" w:rsidRDefault="00441E6F" w:rsidP="0031207E">
            <w:pPr>
              <w:jc w:val="right"/>
            </w:pPr>
            <w:r>
              <w:t>10%</w:t>
            </w:r>
          </w:p>
        </w:tc>
        <w:tc>
          <w:tcPr>
            <w:tcW w:w="1149" w:type="dxa"/>
          </w:tcPr>
          <w:p w14:paraId="1C1F268C" w14:textId="779FD11E" w:rsidR="00441E6F" w:rsidRDefault="00441E6F" w:rsidP="0031207E">
            <w:pPr>
              <w:jc w:val="right"/>
            </w:pPr>
            <w:r>
              <w:t>90%</w:t>
            </w:r>
          </w:p>
        </w:tc>
        <w:tc>
          <w:tcPr>
            <w:tcW w:w="1707" w:type="dxa"/>
          </w:tcPr>
          <w:p w14:paraId="72167B6F" w14:textId="35ACE1B7" w:rsidR="00441E6F" w:rsidRDefault="00441E6F" w:rsidP="0031207E">
            <w:pPr>
              <w:jc w:val="right"/>
            </w:pPr>
            <w:r>
              <w:t>0%</w:t>
            </w:r>
          </w:p>
        </w:tc>
      </w:tr>
      <w:tr w:rsidR="00441E6F" w14:paraId="7E049965" w14:textId="77777777" w:rsidTr="0031207E">
        <w:trPr>
          <w:jc w:val="center"/>
        </w:trPr>
        <w:tc>
          <w:tcPr>
            <w:tcW w:w="3325" w:type="dxa"/>
          </w:tcPr>
          <w:p w14:paraId="4A24B3DC" w14:textId="019934DD" w:rsidR="00441E6F" w:rsidRDefault="00441E6F" w:rsidP="0031207E">
            <w:r>
              <w:t>PRM PCP Dashboard</w:t>
            </w:r>
          </w:p>
        </w:tc>
        <w:tc>
          <w:tcPr>
            <w:tcW w:w="1260" w:type="dxa"/>
          </w:tcPr>
          <w:p w14:paraId="7D14D696" w14:textId="35544592" w:rsidR="00441E6F" w:rsidRDefault="00441E6F" w:rsidP="0031207E">
            <w:pPr>
              <w:jc w:val="right"/>
            </w:pPr>
            <w:r>
              <w:t>10%</w:t>
            </w:r>
          </w:p>
        </w:tc>
        <w:tc>
          <w:tcPr>
            <w:tcW w:w="1149" w:type="dxa"/>
          </w:tcPr>
          <w:p w14:paraId="23792644" w14:textId="54C996E3" w:rsidR="00441E6F" w:rsidRDefault="00441E6F" w:rsidP="0031207E">
            <w:pPr>
              <w:jc w:val="right"/>
            </w:pPr>
            <w:r>
              <w:t>90%</w:t>
            </w:r>
          </w:p>
        </w:tc>
        <w:tc>
          <w:tcPr>
            <w:tcW w:w="1707" w:type="dxa"/>
          </w:tcPr>
          <w:p w14:paraId="79BDB639" w14:textId="38606163" w:rsidR="00441E6F" w:rsidRDefault="00441E6F" w:rsidP="0031207E">
            <w:pPr>
              <w:jc w:val="right"/>
            </w:pPr>
            <w:r>
              <w:t>0%</w:t>
            </w:r>
          </w:p>
        </w:tc>
      </w:tr>
    </w:tbl>
    <w:p w14:paraId="2AECE639" w14:textId="77777777" w:rsidR="00441E6F" w:rsidRPr="00441E6F" w:rsidRDefault="00441E6F"/>
    <w:p w14:paraId="6B831816" w14:textId="6B9A20B3" w:rsidR="00441E6F" w:rsidRPr="00852CCD" w:rsidRDefault="00852CCD">
      <w:r>
        <w:t xml:space="preserve">Additionally, the marginal PMPM fees for non-CCLF data feeds with greater than 25,000 lives will shift </w:t>
      </w:r>
      <w:r w:rsidRPr="00852CCD">
        <w:rPr>
          <w:color w:val="FF0000"/>
        </w:rPr>
        <w:t xml:space="preserve">7.5% </w:t>
      </w:r>
      <w:r>
        <w:t>towards PRM for all line items that scale by PMPM.</w:t>
      </w:r>
    </w:p>
    <w:p w14:paraId="0C9F015A" w14:textId="77777777" w:rsidR="00B95A24" w:rsidRDefault="00B95A24"/>
    <w:p w14:paraId="5168DDB2" w14:textId="77777777" w:rsidR="002B3811" w:rsidRDefault="002B3811" w:rsidP="002B3811">
      <w:pPr>
        <w:pStyle w:val="Heading1"/>
      </w:pPr>
      <w:r>
        <w:lastRenderedPageBreak/>
        <w:t>Client Contact</w:t>
      </w:r>
    </w:p>
    <w:p w14:paraId="3F0DC40A" w14:textId="0104BE34" w:rsidR="002B3811" w:rsidRDefault="002B3811" w:rsidP="002B3811">
      <w:r>
        <w:t xml:space="preserve">PRM and NY Health will both maintain appropriate channels of communication with Premier.  </w:t>
      </w:r>
      <w:r w:rsidR="00D62834" w:rsidRPr="00800989">
        <w:rPr>
          <w:color w:val="FF0000"/>
        </w:rPr>
        <w:t>The responsibility for individual client management</w:t>
      </w:r>
      <w:r w:rsidR="00054194">
        <w:rPr>
          <w:color w:val="FF0000"/>
        </w:rPr>
        <w:t xml:space="preserve"> (to the extent it is needed)</w:t>
      </w:r>
      <w:r w:rsidR="00D62834" w:rsidRPr="00800989">
        <w:rPr>
          <w:color w:val="FF0000"/>
        </w:rPr>
        <w:t xml:space="preserve"> will belong to the practice that receives the most product revenue for that client</w:t>
      </w:r>
      <w:r w:rsidR="00324B94">
        <w:rPr>
          <w:color w:val="FF0000"/>
        </w:rPr>
        <w:t xml:space="preserve"> </w:t>
      </w:r>
      <w:r w:rsidR="006340C2">
        <w:rPr>
          <w:color w:val="FF0000"/>
        </w:rPr>
        <w:t xml:space="preserve">unless </w:t>
      </w:r>
      <w:r w:rsidR="00324B94">
        <w:rPr>
          <w:color w:val="FF0000"/>
        </w:rPr>
        <w:t xml:space="preserve">otherwise </w:t>
      </w:r>
      <w:r w:rsidR="006340C2">
        <w:rPr>
          <w:color w:val="FF0000"/>
        </w:rPr>
        <w:t>agreed to by both practices, e.g. in some cases NY might want to be responsible for client management even though PRM receives the most product revenue for the client and vice versa.</w:t>
      </w:r>
      <w:r w:rsidR="00D62834" w:rsidRPr="00800989">
        <w:rPr>
          <w:color w:val="FF0000"/>
        </w:rPr>
        <w:t xml:space="preserve"> </w:t>
      </w:r>
    </w:p>
    <w:p w14:paraId="0E268D53" w14:textId="77777777" w:rsidR="004609CD" w:rsidRDefault="00112784" w:rsidP="007D7AEE">
      <w:pPr>
        <w:pStyle w:val="Heading1"/>
      </w:pPr>
      <w:r>
        <w:t>Implementation</w:t>
      </w:r>
    </w:p>
    <w:p w14:paraId="76462218" w14:textId="12B192B0" w:rsidR="004609CD" w:rsidRDefault="00800989">
      <w:r w:rsidRPr="00800989">
        <w:rPr>
          <w:color w:val="FF0000"/>
        </w:rPr>
        <w:t>PRM</w:t>
      </w:r>
      <w:r w:rsidR="004609CD" w:rsidRPr="00800989">
        <w:rPr>
          <w:color w:val="FF0000"/>
        </w:rPr>
        <w:t xml:space="preserve"> staff will</w:t>
      </w:r>
      <w:r w:rsidRPr="00800989">
        <w:rPr>
          <w:color w:val="FF0000"/>
        </w:rPr>
        <w:t xml:space="preserve"> be responsible for authoring </w:t>
      </w:r>
      <w:r w:rsidR="004609CD" w:rsidRPr="00800989">
        <w:rPr>
          <w:color w:val="FF0000"/>
        </w:rPr>
        <w:t>each client implementation</w:t>
      </w:r>
      <w:r w:rsidR="00054194">
        <w:rPr>
          <w:color w:val="FF0000"/>
        </w:rPr>
        <w:t>; this responsibility will conclude with the first delivery of products to the client</w:t>
      </w:r>
      <w:r w:rsidR="004609CD" w:rsidRPr="00800989">
        <w:rPr>
          <w:color w:val="FF0000"/>
        </w:rPr>
        <w:t xml:space="preserve">.  </w:t>
      </w:r>
      <w:r w:rsidRPr="00800989">
        <w:rPr>
          <w:color w:val="FF0000"/>
        </w:rPr>
        <w:t xml:space="preserve">The practice receiving the majority of the product revenue will </w:t>
      </w:r>
      <w:r w:rsidR="00054194">
        <w:rPr>
          <w:color w:val="FF0000"/>
        </w:rPr>
        <w:t xml:space="preserve">then </w:t>
      </w:r>
      <w:r w:rsidRPr="00800989">
        <w:rPr>
          <w:color w:val="FF0000"/>
        </w:rPr>
        <w:t>be responsible for ongoing implementation code maintenance.</w:t>
      </w:r>
      <w:r>
        <w:t xml:space="preserve"> </w:t>
      </w:r>
      <w:r w:rsidR="004609CD">
        <w:t>PRM staff will be available to assist as needed.  PRM will charge hourly fees</w:t>
      </w:r>
      <w:r w:rsidR="006615C3">
        <w:t xml:space="preserve"> to NY Health</w:t>
      </w:r>
      <w:r w:rsidR="004609CD">
        <w:t xml:space="preserve"> for any client-specific assistance.</w:t>
      </w:r>
    </w:p>
    <w:p w14:paraId="7B96E6A1" w14:textId="77777777" w:rsidR="00E27210" w:rsidRDefault="00E27210">
      <w:r>
        <w:t>PRM will be responsible for maintaining the existing CCLF implementation library.</w:t>
      </w:r>
    </w:p>
    <w:p w14:paraId="47D242B8" w14:textId="77777777" w:rsidR="004609CD" w:rsidRDefault="00112784" w:rsidP="007D7AEE">
      <w:pPr>
        <w:pStyle w:val="Heading1"/>
      </w:pPr>
      <w:r>
        <w:t>Production</w:t>
      </w:r>
    </w:p>
    <w:p w14:paraId="685656F2" w14:textId="1FDCBFD6" w:rsidR="004609CD" w:rsidRDefault="00800989">
      <w:r w:rsidRPr="00800989">
        <w:rPr>
          <w:color w:val="FF0000"/>
        </w:rPr>
        <w:t>The practice receiving the majority of the product revenue will be responsible for running production</w:t>
      </w:r>
      <w:r w:rsidR="004609CD">
        <w:t>.  This would include tracking receipt of data, execution of pipelines, and final deliverable peer reviews.</w:t>
      </w:r>
      <w:r w:rsidR="004609CD" w:rsidRPr="004609CD">
        <w:t xml:space="preserve"> </w:t>
      </w:r>
      <w:r w:rsidR="004609CD">
        <w:t xml:space="preserve"> PRM staff will be available to assist as needed.  PRM will charge hourly fees</w:t>
      </w:r>
      <w:r w:rsidR="006615C3">
        <w:t xml:space="preserve"> to NY Health</w:t>
      </w:r>
      <w:r w:rsidR="004609CD">
        <w:t xml:space="preserve"> for any client-specific assistance</w:t>
      </w:r>
      <w:r w:rsidR="00054194">
        <w:t xml:space="preserve"> (on clients that are NY Health responsibility)</w:t>
      </w:r>
      <w:r w:rsidR="004609CD">
        <w:t>.</w:t>
      </w:r>
    </w:p>
    <w:p w14:paraId="71AE98B4" w14:textId="6F8737CF" w:rsidR="00054194" w:rsidRDefault="00054194">
      <w:r>
        <w:t>PRM will be responsible for maintaining the generic data pipeline components (e.g. PRM/analytics-pipeline).</w:t>
      </w:r>
    </w:p>
    <w:p w14:paraId="1D48823D" w14:textId="77777777" w:rsidR="004609CD" w:rsidRDefault="00112784" w:rsidP="007D7AEE">
      <w:pPr>
        <w:pStyle w:val="Heading1"/>
      </w:pPr>
      <w:r>
        <w:t>Development</w:t>
      </w:r>
    </w:p>
    <w:p w14:paraId="01B92A71" w14:textId="77777777" w:rsidR="004609CD" w:rsidRDefault="004609CD">
      <w:r>
        <w:t xml:space="preserve">Each practice will be responsible for the development work supporting </w:t>
      </w:r>
      <w:r w:rsidR="007D7AEE">
        <w:t>any intellectual property (IP) owned by that practice.  NY Health is the IP owner for Post-Acute Care analytics and ACO Insight.  PRM is the IP owner of the enhanced Premier data feed.  PRM will be responsible for maintaining the already implemented, publically available IP (e.g. AHRQ-PQIs, CMS-HCCs).  For the IP owned by other Milliman practices, the following development responsibilities will apply:</w:t>
      </w:r>
    </w:p>
    <w:p w14:paraId="379DE115" w14:textId="77777777" w:rsidR="007D7AEE" w:rsidRDefault="007D7AEE" w:rsidP="007D7AEE">
      <w:pPr>
        <w:pStyle w:val="ListBullet"/>
      </w:pPr>
      <w:r>
        <w:t>PRM</w:t>
      </w:r>
    </w:p>
    <w:p w14:paraId="3ED0A6AB" w14:textId="77777777" w:rsidR="007D7AEE" w:rsidRDefault="007D7AEE" w:rsidP="007D7AEE">
      <w:pPr>
        <w:pStyle w:val="ListBullet"/>
        <w:tabs>
          <w:tab w:val="clear" w:pos="360"/>
          <w:tab w:val="num" w:pos="720"/>
        </w:tabs>
        <w:ind w:left="720"/>
      </w:pPr>
      <w:r>
        <w:t>HCG Grouper</w:t>
      </w:r>
    </w:p>
    <w:p w14:paraId="61CD3934" w14:textId="77777777" w:rsidR="007D7AEE" w:rsidRDefault="007D7AEE" w:rsidP="007D7AEE">
      <w:pPr>
        <w:pStyle w:val="ListBullet"/>
      </w:pPr>
      <w:r>
        <w:t>NY Health</w:t>
      </w:r>
    </w:p>
    <w:p w14:paraId="19187B60" w14:textId="77777777" w:rsidR="007D7AEE" w:rsidRDefault="007D7AEE" w:rsidP="007D7AEE">
      <w:pPr>
        <w:pStyle w:val="ListBullet"/>
        <w:tabs>
          <w:tab w:val="clear" w:pos="360"/>
          <w:tab w:val="num" w:pos="720"/>
        </w:tabs>
        <w:ind w:left="720"/>
      </w:pPr>
      <w:r>
        <w:t>HCG Benchmarks</w:t>
      </w:r>
    </w:p>
    <w:p w14:paraId="5B41D289" w14:textId="77777777" w:rsidR="007D7AEE" w:rsidRDefault="007D7AEE" w:rsidP="007D7AEE">
      <w:pPr>
        <w:pStyle w:val="ListBullet"/>
        <w:tabs>
          <w:tab w:val="clear" w:pos="360"/>
          <w:tab w:val="num" w:pos="720"/>
        </w:tabs>
        <w:ind w:left="720"/>
      </w:pPr>
      <w:r>
        <w:t>DRG Benchmarks</w:t>
      </w:r>
    </w:p>
    <w:p w14:paraId="59ED28E9" w14:textId="1E4D69AB" w:rsidR="00800989" w:rsidRPr="00AC49C8" w:rsidRDefault="00800989" w:rsidP="00C2424E">
      <w:pPr>
        <w:pStyle w:val="ListBullet"/>
        <w:tabs>
          <w:tab w:val="clear" w:pos="360"/>
          <w:tab w:val="num" w:pos="720"/>
        </w:tabs>
        <w:ind w:left="720"/>
        <w:rPr>
          <w:color w:val="FF0000"/>
        </w:rPr>
      </w:pPr>
      <w:r w:rsidRPr="00AC49C8">
        <w:rPr>
          <w:color w:val="FF0000"/>
        </w:rPr>
        <w:t>Medical Conditions</w:t>
      </w:r>
    </w:p>
    <w:p w14:paraId="5BBABF4B" w14:textId="77777777" w:rsidR="007D7AEE" w:rsidRDefault="007D7AEE" w:rsidP="007D7AEE">
      <w:pPr>
        <w:pStyle w:val="ListBullet"/>
        <w:numPr>
          <w:ilvl w:val="0"/>
          <w:numId w:val="0"/>
        </w:numPr>
        <w:ind w:left="360" w:hanging="360"/>
      </w:pPr>
    </w:p>
    <w:p w14:paraId="26498A0C" w14:textId="68C0C7CA" w:rsidR="0041106C" w:rsidRDefault="009363A6" w:rsidP="009363A6">
      <w:pPr>
        <w:pStyle w:val="ListBullet"/>
        <w:numPr>
          <w:ilvl w:val="0"/>
          <w:numId w:val="0"/>
        </w:numPr>
      </w:pPr>
      <w:r>
        <w:t xml:space="preserve">PRM and NY Health will be responsible for any license fees for any IP they have development responsibility over, except for those explicitly called out in the revenue share calculations (i.e. </w:t>
      </w:r>
      <w:r w:rsidR="00126B1F">
        <w:t>HCG Benchmarks</w:t>
      </w:r>
      <w:r>
        <w:t xml:space="preserve">).  </w:t>
      </w:r>
      <w:r w:rsidR="0041106C">
        <w:t>PRM will charge hourly fees</w:t>
      </w:r>
      <w:r w:rsidR="006615C3">
        <w:t xml:space="preserve"> to NY Health</w:t>
      </w:r>
      <w:r w:rsidR="0041106C">
        <w:t xml:space="preserve"> for any </w:t>
      </w:r>
      <w:r>
        <w:t xml:space="preserve">development </w:t>
      </w:r>
      <w:r w:rsidR="0041106C">
        <w:t>assistance related to NY Health assigned IP above.</w:t>
      </w:r>
    </w:p>
    <w:p w14:paraId="6E41B41D" w14:textId="77777777" w:rsidR="002B3811" w:rsidRDefault="002B3811" w:rsidP="002B3811">
      <w:pPr>
        <w:pStyle w:val="Heading1"/>
      </w:pPr>
      <w:r>
        <w:t>Compute and Storage Infrastructure</w:t>
      </w:r>
    </w:p>
    <w:p w14:paraId="69A7C0DB" w14:textId="77777777" w:rsidR="002B3811" w:rsidRDefault="002B3811" w:rsidP="002B3811">
      <w:pPr>
        <w:pStyle w:val="ListBullet"/>
        <w:numPr>
          <w:ilvl w:val="0"/>
          <w:numId w:val="0"/>
        </w:numPr>
      </w:pPr>
      <w:r>
        <w:t xml:space="preserve">PRM will be responsible for supplying the compute and storage infrastructure required to service the Premier contract.  PRM staff will be responsible for all </w:t>
      </w:r>
      <w:r w:rsidR="00112784">
        <w:t xml:space="preserve">configuration, </w:t>
      </w:r>
      <w:r>
        <w:t>maintenance and troubleshooting.</w:t>
      </w:r>
    </w:p>
    <w:p w14:paraId="639E895E" w14:textId="77777777" w:rsidR="002B3811" w:rsidRDefault="002B3811" w:rsidP="002B3811">
      <w:pPr>
        <w:pStyle w:val="Heading1"/>
      </w:pPr>
      <w:r>
        <w:lastRenderedPageBreak/>
        <w:t>Report Hosting</w:t>
      </w:r>
    </w:p>
    <w:p w14:paraId="5408C5FF" w14:textId="77777777" w:rsidR="002B3811" w:rsidRDefault="002B3811" w:rsidP="002B3811">
      <w:pPr>
        <w:pStyle w:val="ListBullet"/>
        <w:numPr>
          <w:ilvl w:val="0"/>
          <w:numId w:val="0"/>
        </w:numPr>
      </w:pPr>
      <w:r>
        <w:t>This contract does not cover any aspect of report hosting.  Each practice will be responsible for any report hosting costs incurred as part of the Premier contract</w:t>
      </w:r>
      <w:r w:rsidR="00112784">
        <w:t xml:space="preserve"> for their IP</w:t>
      </w:r>
      <w:r>
        <w:t>.</w:t>
      </w:r>
    </w:p>
    <w:p w14:paraId="6FA0A239" w14:textId="77777777" w:rsidR="00F87BF5" w:rsidRDefault="00F87BF5" w:rsidP="0041106C">
      <w:pPr>
        <w:pStyle w:val="Heading1"/>
      </w:pPr>
      <w:r>
        <w:t>Hourly Rates</w:t>
      </w:r>
    </w:p>
    <w:p w14:paraId="007C55B4" w14:textId="77777777" w:rsidR="00F87BF5" w:rsidRDefault="00F87BF5" w:rsidP="00F87BF5">
      <w:pPr>
        <w:pStyle w:val="ListBullet"/>
        <w:numPr>
          <w:ilvl w:val="0"/>
          <w:numId w:val="0"/>
        </w:numPr>
      </w:pPr>
      <w:r>
        <w:t xml:space="preserve">For the remainder of CY2017, PRM staff will charge $100 per hour for </w:t>
      </w:r>
      <w:r w:rsidR="0037593D">
        <w:t>any</w:t>
      </w:r>
      <w:r>
        <w:t xml:space="preserve"> assistance with implementation, production and development</w:t>
      </w:r>
      <w:r w:rsidR="0041106C">
        <w:t xml:space="preserve"> as outlined above</w:t>
      </w:r>
      <w:r>
        <w:t xml:space="preserve">.  In January of </w:t>
      </w:r>
      <w:proofErr w:type="gramStart"/>
      <w:r>
        <w:t>2018</w:t>
      </w:r>
      <w:proofErr w:type="gramEnd"/>
      <w:r>
        <w:t xml:space="preserve"> the rate will raise to $200 and then raise 3% every January thereafter.</w:t>
      </w:r>
    </w:p>
    <w:p w14:paraId="3CF08A92" w14:textId="77777777" w:rsidR="0089234B" w:rsidRDefault="0089234B" w:rsidP="00F87BF5">
      <w:pPr>
        <w:pStyle w:val="ListBullet"/>
        <w:numPr>
          <w:ilvl w:val="0"/>
          <w:numId w:val="0"/>
        </w:numPr>
      </w:pPr>
      <w:r>
        <w:rPr>
          <w:noProof/>
        </w:rPr>
        <mc:AlternateContent>
          <mc:Choice Requires="wps">
            <w:drawing>
              <wp:anchor distT="0" distB="0" distL="114300" distR="114300" simplePos="0" relativeHeight="251664384" behindDoc="0" locked="0" layoutInCell="1" allowOverlap="1" wp14:anchorId="713F7DAD" wp14:editId="2BC53DDA">
                <wp:simplePos x="0" y="0"/>
                <wp:positionH relativeFrom="column">
                  <wp:posOffset>50800</wp:posOffset>
                </wp:positionH>
                <wp:positionV relativeFrom="paragraph">
                  <wp:posOffset>175895</wp:posOffset>
                </wp:positionV>
                <wp:extent cx="5962650" cy="190500"/>
                <wp:effectExtent l="0" t="0" r="0" b="0"/>
                <wp:wrapNone/>
                <wp:docPr id="5" name="Minus 5"/>
                <wp:cNvGraphicFramePr/>
                <a:graphic xmlns:a="http://schemas.openxmlformats.org/drawingml/2006/main">
                  <a:graphicData uri="http://schemas.microsoft.com/office/word/2010/wordprocessingShape">
                    <wps:wsp>
                      <wps:cNvSpPr/>
                      <wps:spPr>
                        <a:xfrm>
                          <a:off x="0" y="0"/>
                          <a:ext cx="5962650" cy="190500"/>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440C5" id="Minus 5" o:spid="_x0000_s1026" style="position:absolute;margin-left:4pt;margin-top:13.85pt;width:469.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" path="m790349,72847r4381952,l5172301,117653r-4381952,l790349,72847xe" fillcolor="#3494ba [3204]" strokecolor="#1a495c [1604]" strokeweight="1pt">
                <v:stroke joinstyle="miter"/>
                <v:path arrowok="t" o:connecttype="custom" o:connectlocs="790349,72847;5172301,72847;5172301,117653;790349,117653;790349,72847" o:connectangles="0,0,0,0,0"/>
              </v:shape>
            </w:pict>
          </mc:Fallback>
        </mc:AlternateContent>
      </w:r>
    </w:p>
    <w:p w14:paraId="7300D502" w14:textId="77777777" w:rsidR="0089234B" w:rsidRDefault="0089234B" w:rsidP="00F87BF5">
      <w:pPr>
        <w:pStyle w:val="ListBullet"/>
        <w:numPr>
          <w:ilvl w:val="0"/>
          <w:numId w:val="0"/>
        </w:numPr>
      </w:pPr>
    </w:p>
    <w:p w14:paraId="01F8AE75" w14:textId="77777777" w:rsidR="0089234B" w:rsidRDefault="0089234B" w:rsidP="00F87BF5">
      <w:pPr>
        <w:pStyle w:val="ListBullet"/>
        <w:numPr>
          <w:ilvl w:val="0"/>
          <w:numId w:val="0"/>
        </w:numPr>
      </w:pPr>
    </w:p>
    <w:p w14:paraId="3C497461" w14:textId="3802D6D8" w:rsidR="0089234B" w:rsidRDefault="0089234B" w:rsidP="00F87BF5">
      <w:pPr>
        <w:pStyle w:val="ListBullet"/>
        <w:numPr>
          <w:ilvl w:val="0"/>
          <w:numId w:val="0"/>
        </w:numPr>
      </w:pPr>
      <w:r>
        <w:t xml:space="preserve">I acknowledge the receipt of this </w:t>
      </w:r>
      <w:r w:rsidR="00800989">
        <w:t>amendment</w:t>
      </w:r>
      <w:r>
        <w:t xml:space="preserve"> and agree with the scope and terms.</w:t>
      </w:r>
    </w:p>
    <w:p w14:paraId="690277B8" w14:textId="5FF8FF99" w:rsidR="0089234B" w:rsidRDefault="00663226" w:rsidP="00F87BF5">
      <w:pPr>
        <w:pStyle w:val="ListBullet"/>
        <w:numPr>
          <w:ilvl w:val="0"/>
          <w:numId w:val="0"/>
        </w:numPr>
      </w:pPr>
      <w:r>
        <w:rPr>
          <w:noProof/>
        </w:rPr>
        <w:drawing>
          <wp:anchor distT="0" distB="0" distL="114300" distR="114300" simplePos="0" relativeHeight="251665408" behindDoc="1" locked="0" layoutInCell="1" allowOverlap="1" wp14:anchorId="6F9989CE" wp14:editId="13AFCA8F">
            <wp:simplePos x="0" y="0"/>
            <wp:positionH relativeFrom="margin">
              <wp:align>left</wp:align>
            </wp:positionH>
            <wp:positionV relativeFrom="paragraph">
              <wp:posOffset>167640</wp:posOffset>
            </wp:positionV>
            <wp:extent cx="1885950" cy="67533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yer (blue).jpg"/>
                    <pic:cNvPicPr/>
                  </pic:nvPicPr>
                  <pic:blipFill>
                    <a:blip r:embed="rId7">
                      <a:extLst>
                        <a:ext uri="{28A0092B-C50C-407E-A947-70E740481C1C}">
                          <a14:useLocalDpi xmlns:a14="http://schemas.microsoft.com/office/drawing/2010/main" val="0"/>
                        </a:ext>
                      </a:extLst>
                    </a:blip>
                    <a:stretch>
                      <a:fillRect/>
                    </a:stretch>
                  </pic:blipFill>
                  <pic:spPr>
                    <a:xfrm>
                      <a:off x="0" y="0"/>
                      <a:ext cx="1885950" cy="675335"/>
                    </a:xfrm>
                    <a:prstGeom prst="rect">
                      <a:avLst/>
                    </a:prstGeom>
                  </pic:spPr>
                </pic:pic>
              </a:graphicData>
            </a:graphic>
            <wp14:sizeRelH relativeFrom="margin">
              <wp14:pctWidth>0</wp14:pctWidth>
            </wp14:sizeRelH>
            <wp14:sizeRelV relativeFrom="margin">
              <wp14:pctHeight>0</wp14:pctHeight>
            </wp14:sizeRelV>
          </wp:anchor>
        </w:drawing>
      </w:r>
    </w:p>
    <w:p w14:paraId="1EB7AD74" w14:textId="36E4920E" w:rsidR="0089234B" w:rsidRDefault="0089234B" w:rsidP="00F87BF5">
      <w:pPr>
        <w:pStyle w:val="ListBullet"/>
        <w:numPr>
          <w:ilvl w:val="0"/>
          <w:numId w:val="0"/>
        </w:numPr>
      </w:pPr>
    </w:p>
    <w:p w14:paraId="07860C4B" w14:textId="67E65CE1" w:rsidR="0089234B" w:rsidRDefault="00663226" w:rsidP="00F87BF5">
      <w:pPr>
        <w:pStyle w:val="ListBullet"/>
        <w:numPr>
          <w:ilvl w:val="0"/>
          <w:numId w:val="0"/>
        </w:numPr>
      </w:pPr>
      <w:r>
        <w:tab/>
      </w:r>
      <w:r>
        <w:tab/>
      </w:r>
      <w:r>
        <w:tab/>
      </w:r>
      <w:r>
        <w:tab/>
      </w:r>
      <w:r>
        <w:tab/>
      </w:r>
      <w:r>
        <w:tab/>
      </w:r>
      <w:r>
        <w:tab/>
      </w:r>
      <w:r>
        <w:tab/>
        <w:t>12/18/2018</w:t>
      </w:r>
    </w:p>
    <w:p w14:paraId="3C9241DC" w14:textId="77777777" w:rsidR="0089234B" w:rsidRPr="0089234B" w:rsidRDefault="0089234B" w:rsidP="00F87BF5">
      <w:pPr>
        <w:pStyle w:val="ListBullet"/>
        <w:numPr>
          <w:ilvl w:val="0"/>
          <w:numId w:val="0"/>
        </w:numPr>
      </w:pPr>
      <w:r>
        <w:rPr>
          <w:noProof/>
        </w:rPr>
        <mc:AlternateContent>
          <mc:Choice Requires="wps">
            <w:drawing>
              <wp:anchor distT="0" distB="0" distL="114300" distR="114300" simplePos="0" relativeHeight="251660288" behindDoc="0" locked="0" layoutInCell="1" allowOverlap="1" wp14:anchorId="48E28C2B" wp14:editId="36281B66">
                <wp:simplePos x="0" y="0"/>
                <wp:positionH relativeFrom="column">
                  <wp:posOffset>3575050</wp:posOffset>
                </wp:positionH>
                <wp:positionV relativeFrom="paragraph">
                  <wp:posOffset>138430</wp:posOffset>
                </wp:positionV>
                <wp:extent cx="203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D763E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1.5pt,10.9pt" to="442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" strokecolor="#3494ba [3204]"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3BAFE05C" wp14:editId="653F0E20">
                <wp:simplePos x="0" y="0"/>
                <wp:positionH relativeFrom="column">
                  <wp:posOffset>6350</wp:posOffset>
                </wp:positionH>
                <wp:positionV relativeFrom="paragraph">
                  <wp:posOffset>144780</wp:posOffset>
                </wp:positionV>
                <wp:extent cx="306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3067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8AB30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11.4pt" to="24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" strokecolor="#3494ba [3204]" strokeweight=".5pt">
                <v:stroke joinstyle="miter"/>
              </v:line>
            </w:pict>
          </mc:Fallback>
        </mc:AlternateContent>
      </w:r>
    </w:p>
    <w:p w14:paraId="51F559A1" w14:textId="77777777" w:rsidR="0089234B" w:rsidRDefault="0089234B" w:rsidP="00F87BF5">
      <w:pPr>
        <w:pStyle w:val="ListBullet"/>
        <w:numPr>
          <w:ilvl w:val="0"/>
          <w:numId w:val="0"/>
        </w:numPr>
      </w:pPr>
      <w:r>
        <w:t>Signature</w:t>
      </w:r>
      <w:r>
        <w:tab/>
      </w:r>
      <w:r>
        <w:tab/>
      </w:r>
      <w:r>
        <w:tab/>
      </w:r>
      <w:r>
        <w:tab/>
      </w:r>
      <w:r>
        <w:tab/>
      </w:r>
      <w:r>
        <w:tab/>
      </w:r>
      <w:r>
        <w:tab/>
        <w:t>Date</w:t>
      </w:r>
    </w:p>
    <w:p w14:paraId="4C7C64FB" w14:textId="29D35215" w:rsidR="0089234B" w:rsidRDefault="00EC14A8" w:rsidP="0089234B">
      <w:pPr>
        <w:pStyle w:val="ListBullet"/>
        <w:numPr>
          <w:ilvl w:val="0"/>
          <w:numId w:val="0"/>
        </w:numPr>
      </w:pPr>
      <w:r>
        <w:rPr>
          <w:noProof/>
        </w:rPr>
        <w:drawing>
          <wp:inline distT="0" distB="0" distL="0" distR="0" wp14:anchorId="533ED1F1" wp14:editId="2C08DC99">
            <wp:extent cx="1905000" cy="42938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923224" cy="433489"/>
                    </a:xfrm>
                    <a:prstGeom prst="rect">
                      <a:avLst/>
                    </a:prstGeom>
                    <a:noFill/>
                    <a:ln w="9525">
                      <a:noFill/>
                      <a:miter lim="800000"/>
                      <a:headEnd/>
                      <a:tailEnd/>
                    </a:ln>
                  </pic:spPr>
                </pic:pic>
              </a:graphicData>
            </a:graphic>
          </wp:inline>
        </w:drawing>
      </w:r>
      <w:r>
        <w:tab/>
      </w:r>
      <w:r>
        <w:tab/>
      </w:r>
      <w:r>
        <w:tab/>
      </w:r>
      <w:r>
        <w:tab/>
        <w:t>12/19/2018</w:t>
      </w:r>
      <w:bookmarkStart w:id="0" w:name="_GoBack"/>
      <w:bookmarkEnd w:id="0"/>
    </w:p>
    <w:p w14:paraId="5B3AD5D0" w14:textId="77777777" w:rsidR="0089234B" w:rsidRDefault="0089234B" w:rsidP="0089234B">
      <w:pPr>
        <w:pStyle w:val="ListBullet"/>
        <w:numPr>
          <w:ilvl w:val="0"/>
          <w:numId w:val="0"/>
        </w:numPr>
      </w:pPr>
    </w:p>
    <w:p w14:paraId="7B29643A" w14:textId="7198D268" w:rsidR="0089234B" w:rsidRPr="0089234B" w:rsidRDefault="0089234B" w:rsidP="0089234B">
      <w:pPr>
        <w:pStyle w:val="ListBullet"/>
        <w:numPr>
          <w:ilvl w:val="0"/>
          <w:numId w:val="0"/>
        </w:numPr>
      </w:pPr>
      <w:r>
        <w:rPr>
          <w:noProof/>
        </w:rPr>
        <mc:AlternateContent>
          <mc:Choice Requires="wps">
            <w:drawing>
              <wp:anchor distT="0" distB="0" distL="114300" distR="114300" simplePos="0" relativeHeight="251663360" behindDoc="0" locked="0" layoutInCell="1" allowOverlap="1" wp14:anchorId="3F0DC043" wp14:editId="0D958DA1">
                <wp:simplePos x="0" y="0"/>
                <wp:positionH relativeFrom="column">
                  <wp:posOffset>3575050</wp:posOffset>
                </wp:positionH>
                <wp:positionV relativeFrom="paragraph">
                  <wp:posOffset>138430</wp:posOffset>
                </wp:positionV>
                <wp:extent cx="20383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0DB569"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1.5pt,10.9pt" to="442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" strokecolor="#3494ba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3D67114F" wp14:editId="360FE9E7">
                <wp:simplePos x="0" y="0"/>
                <wp:positionH relativeFrom="column">
                  <wp:posOffset>6350</wp:posOffset>
                </wp:positionH>
                <wp:positionV relativeFrom="paragraph">
                  <wp:posOffset>144780</wp:posOffset>
                </wp:positionV>
                <wp:extent cx="30670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3067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38C37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pt,11.4pt" to="24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" strokecolor="#3494ba [3204]" strokeweight=".5pt">
                <v:stroke joinstyle="miter"/>
              </v:line>
            </w:pict>
          </mc:Fallback>
        </mc:AlternateContent>
      </w:r>
    </w:p>
    <w:p w14:paraId="7DF6F2D6" w14:textId="77777777" w:rsidR="0089234B" w:rsidRDefault="0089234B" w:rsidP="0089234B">
      <w:pPr>
        <w:pStyle w:val="ListBullet"/>
        <w:numPr>
          <w:ilvl w:val="0"/>
          <w:numId w:val="0"/>
        </w:numPr>
      </w:pPr>
      <w:r>
        <w:t>Signature</w:t>
      </w:r>
      <w:r>
        <w:tab/>
      </w:r>
      <w:r>
        <w:tab/>
      </w:r>
      <w:r>
        <w:tab/>
      </w:r>
      <w:r>
        <w:tab/>
      </w:r>
      <w:r>
        <w:tab/>
      </w:r>
      <w:r>
        <w:tab/>
      </w:r>
      <w:r>
        <w:tab/>
        <w:t>Date</w:t>
      </w:r>
    </w:p>
    <w:p w14:paraId="05CEFFFF" w14:textId="77777777" w:rsidR="0089234B" w:rsidRDefault="0089234B" w:rsidP="00F87BF5">
      <w:pPr>
        <w:pStyle w:val="ListBullet"/>
        <w:numPr>
          <w:ilvl w:val="0"/>
          <w:numId w:val="0"/>
        </w:numPr>
      </w:pPr>
    </w:p>
    <w:sectPr w:rsidR="0089234B" w:rsidSect="00C2379B">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11CEB0" w14:textId="77777777" w:rsidR="00A621FF" w:rsidRDefault="00A621FF" w:rsidP="0089234B">
      <w:pPr>
        <w:spacing w:after="0" w:line="240" w:lineRule="auto"/>
      </w:pPr>
      <w:r>
        <w:separator/>
      </w:r>
    </w:p>
  </w:endnote>
  <w:endnote w:type="continuationSeparator" w:id="0">
    <w:p w14:paraId="16EB2BB7" w14:textId="77777777" w:rsidR="00A621FF" w:rsidRDefault="00A621FF" w:rsidP="00892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7732988"/>
      <w:docPartObj>
        <w:docPartGallery w:val="Page Numbers (Bottom of Page)"/>
        <w:docPartUnique/>
      </w:docPartObj>
    </w:sdtPr>
    <w:sdtEndPr/>
    <w:sdtContent>
      <w:sdt>
        <w:sdtPr>
          <w:id w:val="1683394197"/>
          <w:docPartObj>
            <w:docPartGallery w:val="Page Numbers (Top of Page)"/>
            <w:docPartUnique/>
          </w:docPartObj>
        </w:sdtPr>
        <w:sdtEndPr/>
        <w:sdtContent>
          <w:p w14:paraId="69351BD6" w14:textId="2EBCDA3F" w:rsidR="0089234B" w:rsidRDefault="0089234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C14A8">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C14A8">
              <w:rPr>
                <w:b/>
                <w:bCs/>
                <w:noProof/>
              </w:rPr>
              <w:t>3</w:t>
            </w:r>
            <w:r>
              <w:rPr>
                <w:b/>
                <w:bCs/>
                <w:sz w:val="24"/>
                <w:szCs w:val="24"/>
              </w:rPr>
              <w:fldChar w:fldCharType="end"/>
            </w:r>
          </w:p>
        </w:sdtContent>
      </w:sdt>
    </w:sdtContent>
  </w:sdt>
  <w:p w14:paraId="3579C9A5" w14:textId="77777777" w:rsidR="0089234B" w:rsidRDefault="00892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454F8E" w14:textId="77777777" w:rsidR="00A621FF" w:rsidRDefault="00A621FF" w:rsidP="0089234B">
      <w:pPr>
        <w:spacing w:after="0" w:line="240" w:lineRule="auto"/>
      </w:pPr>
      <w:r>
        <w:separator/>
      </w:r>
    </w:p>
  </w:footnote>
  <w:footnote w:type="continuationSeparator" w:id="0">
    <w:p w14:paraId="62DB9515" w14:textId="77777777" w:rsidR="00A621FF" w:rsidRDefault="00A621FF" w:rsidP="00892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C4CB1" w14:textId="0527D09F" w:rsidR="00B95A24" w:rsidRPr="00B95A24" w:rsidRDefault="00C2379B" w:rsidP="00B95A24">
    <w:pPr>
      <w:pStyle w:val="Subtitle"/>
      <w:jc w:val="center"/>
    </w:pPr>
    <w:r>
      <w:t>New York Health and PRM Analytics</w:t>
    </w:r>
    <w:r>
      <w:br/>
      <w:t>Premier servicing contract</w:t>
    </w:r>
    <w:r w:rsidR="00B95A24">
      <w:t xml:space="preserve"> amendment (December 2018)</w:t>
    </w:r>
  </w:p>
  <w:p w14:paraId="55DB12B2" w14:textId="77777777" w:rsidR="00C2379B" w:rsidRDefault="00C237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6E6FF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8A3A0B"/>
    <w:multiLevelType w:val="hybridMultilevel"/>
    <w:tmpl w:val="8A3806AC"/>
    <w:lvl w:ilvl="0" w:tplc="CF4AF3B8">
      <w:numFmt w:val="bullet"/>
      <w:lvlText w:val=""/>
      <w:lvlJc w:val="left"/>
      <w:pPr>
        <w:ind w:left="2520" w:hanging="360"/>
      </w:pPr>
      <w:rPr>
        <w:rFonts w:ascii="Symbol" w:eastAsiaTheme="minorHAnsi" w:hAnsi="Symbol"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641"/>
    <w:rsid w:val="00015F01"/>
    <w:rsid w:val="00054194"/>
    <w:rsid w:val="000E5DAF"/>
    <w:rsid w:val="00106A74"/>
    <w:rsid w:val="00112784"/>
    <w:rsid w:val="00126B1F"/>
    <w:rsid w:val="001C529D"/>
    <w:rsid w:val="0029531E"/>
    <w:rsid w:val="002B3811"/>
    <w:rsid w:val="00323312"/>
    <w:rsid w:val="00324B94"/>
    <w:rsid w:val="0037593D"/>
    <w:rsid w:val="0041106C"/>
    <w:rsid w:val="00441E6F"/>
    <w:rsid w:val="004609CD"/>
    <w:rsid w:val="0056442F"/>
    <w:rsid w:val="00583D75"/>
    <w:rsid w:val="006340C2"/>
    <w:rsid w:val="006431C0"/>
    <w:rsid w:val="006615C3"/>
    <w:rsid w:val="00663226"/>
    <w:rsid w:val="007D2E9B"/>
    <w:rsid w:val="007D7AEE"/>
    <w:rsid w:val="00800989"/>
    <w:rsid w:val="00805BEB"/>
    <w:rsid w:val="00852CCD"/>
    <w:rsid w:val="0089234B"/>
    <w:rsid w:val="009363A6"/>
    <w:rsid w:val="0098660D"/>
    <w:rsid w:val="009E7F10"/>
    <w:rsid w:val="00A621FF"/>
    <w:rsid w:val="00AC49C8"/>
    <w:rsid w:val="00B66AF2"/>
    <w:rsid w:val="00B95A24"/>
    <w:rsid w:val="00C2379B"/>
    <w:rsid w:val="00CC3100"/>
    <w:rsid w:val="00D62834"/>
    <w:rsid w:val="00D90960"/>
    <w:rsid w:val="00DA6C50"/>
    <w:rsid w:val="00E27210"/>
    <w:rsid w:val="00E938F8"/>
    <w:rsid w:val="00EC14A8"/>
    <w:rsid w:val="00ED7C5E"/>
    <w:rsid w:val="00F05641"/>
    <w:rsid w:val="00F617D4"/>
    <w:rsid w:val="00F87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30AE84"/>
  <w15:chartTrackingRefBased/>
  <w15:docId w15:val="{C28C0386-B8B7-4E6F-8845-24E126CE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7AEE"/>
    <w:pPr>
      <w:keepNext/>
      <w:keepLines/>
      <w:spacing w:before="240" w:after="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7D7AEE"/>
    <w:pPr>
      <w:keepNext/>
      <w:keepLines/>
      <w:spacing w:before="40" w:after="0"/>
      <w:outlineLvl w:val="1"/>
    </w:pPr>
    <w:rPr>
      <w:rFonts w:asciiTheme="majorHAnsi" w:eastAsiaTheme="majorEastAsia" w:hAnsiTheme="majorHAnsi" w:cstheme="majorBidi"/>
      <w:color w:val="276E8B"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7D7AEE"/>
    <w:pPr>
      <w:numPr>
        <w:numId w:val="1"/>
      </w:numPr>
      <w:contextualSpacing/>
    </w:pPr>
  </w:style>
  <w:style w:type="character" w:customStyle="1" w:styleId="Heading1Char">
    <w:name w:val="Heading 1 Char"/>
    <w:basedOn w:val="DefaultParagraphFont"/>
    <w:link w:val="Heading1"/>
    <w:uiPriority w:val="9"/>
    <w:rsid w:val="007D7AEE"/>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rsid w:val="007D7AEE"/>
    <w:rPr>
      <w:rFonts w:asciiTheme="majorHAnsi" w:eastAsiaTheme="majorEastAsia" w:hAnsiTheme="majorHAnsi" w:cstheme="majorBidi"/>
      <w:color w:val="276E8B" w:themeColor="accent1" w:themeShade="BF"/>
      <w:sz w:val="26"/>
      <w:szCs w:val="26"/>
    </w:rPr>
  </w:style>
  <w:style w:type="paragraph" w:styleId="Title">
    <w:name w:val="Title"/>
    <w:basedOn w:val="Normal"/>
    <w:next w:val="Normal"/>
    <w:link w:val="TitleChar"/>
    <w:uiPriority w:val="10"/>
    <w:qFormat/>
    <w:rsid w:val="008923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34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92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34B"/>
  </w:style>
  <w:style w:type="paragraph" w:styleId="Footer">
    <w:name w:val="footer"/>
    <w:basedOn w:val="Normal"/>
    <w:link w:val="FooterChar"/>
    <w:uiPriority w:val="99"/>
    <w:unhideWhenUsed/>
    <w:rsid w:val="00892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34B"/>
  </w:style>
  <w:style w:type="paragraph" w:styleId="Subtitle">
    <w:name w:val="Subtitle"/>
    <w:basedOn w:val="Normal"/>
    <w:next w:val="Normal"/>
    <w:link w:val="SubtitleChar"/>
    <w:uiPriority w:val="11"/>
    <w:qFormat/>
    <w:rsid w:val="00C2379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2379B"/>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9E7F10"/>
    <w:rPr>
      <w:sz w:val="16"/>
      <w:szCs w:val="16"/>
    </w:rPr>
  </w:style>
  <w:style w:type="paragraph" w:styleId="CommentText">
    <w:name w:val="annotation text"/>
    <w:basedOn w:val="Normal"/>
    <w:link w:val="CommentTextChar"/>
    <w:uiPriority w:val="99"/>
    <w:semiHidden/>
    <w:unhideWhenUsed/>
    <w:rsid w:val="009E7F10"/>
    <w:pPr>
      <w:spacing w:line="240" w:lineRule="auto"/>
    </w:pPr>
    <w:rPr>
      <w:sz w:val="20"/>
      <w:szCs w:val="20"/>
    </w:rPr>
  </w:style>
  <w:style w:type="character" w:customStyle="1" w:styleId="CommentTextChar">
    <w:name w:val="Comment Text Char"/>
    <w:basedOn w:val="DefaultParagraphFont"/>
    <w:link w:val="CommentText"/>
    <w:uiPriority w:val="99"/>
    <w:semiHidden/>
    <w:rsid w:val="009E7F10"/>
    <w:rPr>
      <w:sz w:val="20"/>
      <w:szCs w:val="20"/>
    </w:rPr>
  </w:style>
  <w:style w:type="paragraph" w:styleId="CommentSubject">
    <w:name w:val="annotation subject"/>
    <w:basedOn w:val="CommentText"/>
    <w:next w:val="CommentText"/>
    <w:link w:val="CommentSubjectChar"/>
    <w:uiPriority w:val="99"/>
    <w:semiHidden/>
    <w:unhideWhenUsed/>
    <w:rsid w:val="009E7F10"/>
    <w:rPr>
      <w:b/>
      <w:bCs/>
    </w:rPr>
  </w:style>
  <w:style w:type="character" w:customStyle="1" w:styleId="CommentSubjectChar">
    <w:name w:val="Comment Subject Char"/>
    <w:basedOn w:val="CommentTextChar"/>
    <w:link w:val="CommentSubject"/>
    <w:uiPriority w:val="99"/>
    <w:semiHidden/>
    <w:rsid w:val="009E7F10"/>
    <w:rPr>
      <w:b/>
      <w:bCs/>
      <w:sz w:val="20"/>
      <w:szCs w:val="20"/>
    </w:rPr>
  </w:style>
  <w:style w:type="paragraph" w:styleId="BalloonText">
    <w:name w:val="Balloon Text"/>
    <w:basedOn w:val="Normal"/>
    <w:link w:val="BalloonTextChar"/>
    <w:uiPriority w:val="99"/>
    <w:semiHidden/>
    <w:unhideWhenUsed/>
    <w:rsid w:val="009E7F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F10"/>
    <w:rPr>
      <w:rFonts w:ascii="Segoe UI" w:hAnsi="Segoe UI" w:cs="Segoe UI"/>
      <w:sz w:val="18"/>
      <w:szCs w:val="18"/>
    </w:rPr>
  </w:style>
  <w:style w:type="table" w:styleId="TableGrid">
    <w:name w:val="Table Grid"/>
    <w:basedOn w:val="TableNormal"/>
    <w:uiPriority w:val="39"/>
    <w:rsid w:val="00B95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1E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Milliman, Inc.</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 Parkes</dc:creator>
  <cp:keywords/>
  <dc:description/>
  <cp:lastModifiedBy>Kate Fitch</cp:lastModifiedBy>
  <cp:revision>4</cp:revision>
  <dcterms:created xsi:type="dcterms:W3CDTF">2018-12-19T19:56:00Z</dcterms:created>
  <dcterms:modified xsi:type="dcterms:W3CDTF">2018-12-19T20:00:00Z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205204978</vt:i4>
  </property>
  <property fmtid="{D5CDD505-2E9C-101B-9397-08002B2CF9AE}" pid="3" name="_NewReviewCycle">
    <vt:lpwstr/>
  </property>
  <property fmtid="{D5CDD505-2E9C-101B-9397-08002B2CF9AE}" pid="4" name="_EmailSubject">
    <vt:lpwstr>Contract Amendment for Execution</vt:lpwstr>
  </property>
  <property fmtid="{D5CDD505-2E9C-101B-9397-08002B2CF9AE}" pid="5" name="_AuthorEmail">
    <vt:lpwstr>kate.fitch@milliman.com</vt:lpwstr>
  </property>
  <property fmtid="{D5CDD505-2E9C-101B-9397-08002B2CF9AE}" pid="6" name="_AuthorEmailDisplayName">
    <vt:lpwstr>Kate Fitch</vt:lpwstr>
  </property>
</Properties>
</file>