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DB534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Reliance ACO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DB534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 Farber (</w:t>
            </w:r>
            <w:hyperlink r:id="rId6" w:history="1">
              <w:r w:rsidRPr="00DD0ACD">
                <w:rPr>
                  <w:rStyle w:val="Hyperlink"/>
                </w:rPr>
                <w:t>GFarber@relianceaco.org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DB534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DB534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2020-05-22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DB534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2020-05-22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DB534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2020-12-31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DB534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 to Consider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26,000 lives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DB534F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$23,500 license fee</w:t>
            </w:r>
          </w:p>
          <w:p w:rsidR="00DB534F" w:rsidRPr="006F65A6" w:rsidRDefault="00DB534F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$30,000 SaaS fee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DB534F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$53,500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 Health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Anders Larson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DD0ACD">
                <w:rPr>
                  <w:rStyle w:val="Hyperlink"/>
                </w:rPr>
                <w:t>Anders.larson@milliman.com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B534F" w:rsidP="003B5310">
            <w:pPr>
              <w:rPr>
                <w:b w:val="0"/>
              </w:rPr>
            </w:pPr>
            <w:r>
              <w:rPr>
                <w:b w:val="0"/>
              </w:rPr>
              <w:t>2020-06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B534F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$48,150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B534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$53,500 annual license fee + SaaS, less 10% commission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511E66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DB534F">
      <w:pPr>
        <w:jc w:val="center"/>
      </w:pPr>
      <w:bookmarkStart w:id="0" w:name="_GoBack"/>
      <w:bookmarkEnd w:id="0"/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DA3A8A"/>
    <w:rsid w:val="00DB534F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83EB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3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ders.larson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Farber@relianceaco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80CE2-68AD-48C9-8880-F8417F706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3</cp:revision>
  <dcterms:created xsi:type="dcterms:W3CDTF">2017-07-21T18:42:00Z</dcterms:created>
  <dcterms:modified xsi:type="dcterms:W3CDTF">2020-05-26T21:10:00Z</dcterms:modified>
</cp:coreProperties>
</file>