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BF5B80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Western Oregon Advanced Health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F5628A" w:rsidRPr="009315CF" w:rsidRDefault="00F5628A" w:rsidP="00F56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Tracy </w:t>
            </w:r>
            <w:proofErr w:type="spellStart"/>
            <w:r>
              <w:t>Muday</w:t>
            </w:r>
            <w:proofErr w:type="spellEnd"/>
            <w:r>
              <w:t xml:space="preserve"> (</w:t>
            </w:r>
            <w:hyperlink r:id="rId6" w:history="1">
              <w:r w:rsidRPr="0049074F">
                <w:rPr>
                  <w:rStyle w:val="Hyperlink"/>
                </w:rPr>
                <w:t>tracym@woahcco.com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BF5B80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Phil Greenhill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BF5B80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F27A1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2015-05-18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F27A1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2014-12-1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F27A1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2017-11-30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F27A1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134EC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</w:p>
          <w:p w:rsidR="00134ECC" w:rsidRDefault="00134ECC" w:rsidP="00BF7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Model Dashboard</w:t>
            </w:r>
          </w:p>
          <w:p w:rsidR="00BF73BC" w:rsidRDefault="00BF73BC" w:rsidP="00BF7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Client Power User </w:t>
            </w:r>
            <w:proofErr w:type="spellStart"/>
            <w:r>
              <w:t>Datamart</w:t>
            </w:r>
            <w:proofErr w:type="spellEnd"/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E465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175 User Licenses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134ECC" w:rsidP="0013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of Oregon Incentive Metric calculation and reporting for both clinical and claims-based metrics. Includes member-level detail.</w:t>
            </w:r>
          </w:p>
          <w:p w:rsidR="00134ECC" w:rsidRDefault="00134ECC" w:rsidP="0013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34ECC" w:rsidRDefault="00BF73BC" w:rsidP="00BF7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Extraction of 6-10 </w:t>
            </w:r>
            <w:proofErr w:type="gramStart"/>
            <w:r w:rsidR="00E465B6">
              <w:t>partner</w:t>
            </w:r>
            <w:proofErr w:type="gramEnd"/>
            <w:r>
              <w:t xml:space="preserve"> EMR’s data for use in Quality Measures and reporting.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134EC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DA66D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$315,000 per year + $175,000 initial customer setup fee at contract execution</w:t>
            </w:r>
          </w:p>
          <w:p w:rsidR="00DA66D4" w:rsidRDefault="00DA66D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DA66D4" w:rsidRPr="006F65A6" w:rsidRDefault="00DA66D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$0.10 PMPM for new patients beyond 23,000. Triggers once the total population exceeds 23,000 by 10% or more.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DA66D4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Additional services </w:t>
            </w:r>
            <w:proofErr w:type="gramStart"/>
            <w:r>
              <w:t>are not split</w:t>
            </w:r>
            <w:proofErr w:type="gramEnd"/>
            <w:r>
              <w:t xml:space="preserve"> out in this contract.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C841F6" w:rsidP="00C84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$315,000</w:t>
            </w:r>
          </w:p>
        </w:tc>
      </w:tr>
    </w:tbl>
    <w:p w:rsidR="004027B6" w:rsidRDefault="004027B6" w:rsidP="004027B6">
      <w:bookmarkStart w:id="0" w:name="_GoBack"/>
      <w:bookmarkEnd w:id="0"/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DA66D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Phil Greenhill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9315C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DA66D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49074F">
                <w:rPr>
                  <w:rStyle w:val="Hyperlink"/>
                </w:rPr>
                <w:t>pgreenhill@docshp.com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DA66D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C841F6" w:rsidP="003B5310">
            <w:pPr>
              <w:rPr>
                <w:b w:val="0"/>
              </w:rPr>
            </w:pPr>
            <w:r>
              <w:rPr>
                <w:b w:val="0"/>
              </w:rPr>
              <w:t>11/2016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C841F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$315,000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C841F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3 Annual License Fee</w:t>
            </w:r>
          </w:p>
        </w:tc>
      </w:tr>
    </w:tbl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34ECC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BF5B80"/>
    <w:rsid w:val="00BF73BC"/>
    <w:rsid w:val="00C841F6"/>
    <w:rsid w:val="00DA3A8A"/>
    <w:rsid w:val="00DA66D4"/>
    <w:rsid w:val="00DC4C94"/>
    <w:rsid w:val="00E465B6"/>
    <w:rsid w:val="00E93C95"/>
    <w:rsid w:val="00F27A17"/>
    <w:rsid w:val="00F5628A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CF0E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62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greenhill@docshp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cym@woahcc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322F4-6541-4983-8C01-8B98CB951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10</cp:revision>
  <dcterms:created xsi:type="dcterms:W3CDTF">2017-07-21T18:42:00Z</dcterms:created>
  <dcterms:modified xsi:type="dcterms:W3CDTF">2017-08-25T18:17:00Z</dcterms:modified>
</cp:coreProperties>
</file>