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AD8" w:rsidRDefault="00085A2B" w:rsidP="00087500">
      <w:pPr>
        <w:pStyle w:val="Heading1"/>
        <w:spacing w:before="0" w:after="0"/>
        <w:jc w:val="center"/>
      </w:pPr>
      <w:r>
        <w:t>Child</w:t>
      </w:r>
      <w:r w:rsidR="00FB5F01">
        <w:t>ren</w:t>
      </w:r>
      <w:r>
        <w:t xml:space="preserve"> and </w:t>
      </w:r>
      <w:r w:rsidR="00E939B6">
        <w:t>Adolescent</w:t>
      </w:r>
      <w:r w:rsidR="00FB5F01">
        <w:t>s</w:t>
      </w:r>
      <w:r w:rsidR="00E939B6">
        <w:t xml:space="preserve"> Access </w:t>
      </w:r>
      <w:r>
        <w:t xml:space="preserve">to </w:t>
      </w:r>
      <w:r w:rsidR="00A31F2A">
        <w:t>Primary Care Practitioners</w:t>
      </w:r>
    </w:p>
    <w:p w:rsidR="00112912" w:rsidRDefault="00DB2AD8" w:rsidP="00DB2AD8">
      <w:pPr>
        <w:pStyle w:val="Heading1"/>
      </w:pPr>
      <w:r>
        <w:rPr>
          <w:noProof/>
        </w:rPr>
        <mc:AlternateContent>
          <mc:Choice Requires="wps">
            <w:drawing>
              <wp:anchor distT="0" distB="0" distL="114300" distR="114300" simplePos="0" relativeHeight="251659264" behindDoc="0" locked="0" layoutInCell="1" allowOverlap="1" wp14:anchorId="4F4332AB" wp14:editId="5FFBA7DB">
                <wp:simplePos x="0" y="0"/>
                <wp:positionH relativeFrom="column">
                  <wp:posOffset>-47625</wp:posOffset>
                </wp:positionH>
                <wp:positionV relativeFrom="paragraph">
                  <wp:posOffset>185420</wp:posOffset>
                </wp:positionV>
                <wp:extent cx="6238875" cy="285750"/>
                <wp:effectExtent l="0" t="0" r="28575"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285750"/>
                        </a:xfrm>
                        <a:prstGeom prst="rect">
                          <a:avLst/>
                        </a:prstGeom>
                        <a:solidFill>
                          <a:sysClr val="windowText" lastClr="000000"/>
                        </a:solidFill>
                        <a:ln w="6350">
                          <a:solidFill>
                            <a:prstClr val="black"/>
                          </a:solidFill>
                        </a:ln>
                        <a:effectLst/>
                      </wps:spPr>
                      <wps:txbx>
                        <w:txbxContent>
                          <w:p w:rsidR="00A707C8" w:rsidRPr="001F2E13" w:rsidRDefault="00A707C8" w:rsidP="00656B55">
                            <w:pPr>
                              <w:jc w:val="center"/>
                              <w:rPr>
                                <w:color w:val="FFFFFF"/>
                                <w:sz w:val="28"/>
                                <w:szCs w:val="28"/>
                              </w:rPr>
                            </w:pPr>
                            <w:r w:rsidRPr="001F2E13">
                              <w:rPr>
                                <w:color w:val="FFFFFF"/>
                                <w:sz w:val="28"/>
                                <w:szCs w:val="28"/>
                              </w:rPr>
                              <w:t>Measure Basic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F4332AB" id="_x0000_t202" coordsize="21600,21600" o:spt="202" path="m,l,21600r21600,l21600,xe">
                <v:stroke joinstyle="miter"/>
                <v:path gradientshapeok="t" o:connecttype="rect"/>
              </v:shapetype>
              <v:shape id="Text Box 3" o:spid="_x0000_s1026" type="#_x0000_t202" style="position:absolute;margin-left:-3.75pt;margin-top:14.6pt;width:491.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K6ZQIAAN0EAAAOAAAAZHJzL2Uyb0RvYy54bWysVF1P2zAUfZ+0/2D5faQfFEpFijoQ06QK&#10;kGDi2XUcGuH4erbbpPv1O3bS0sGepvXBvfb9PveeXF61tWZb5XxFJufDkwFnykgqKvOS8x9Pt1+m&#10;nPkgTCE0GZXznfL8av7502VjZ2pEa9KFcgxBjJ81NufrEOwsy7xcq1r4E7LKQFmSq0XA1b1khRMN&#10;otc6Gw0GZ1lDrrCOpPIerzedks9T/LJUMtyXpVeB6ZyjtpBOl85VPLP5pZi9OGHXlezLEP9QRS0q&#10;g6SHUDciCLZx1YdQdSUdeSrDiaQ6o7KspEo9oJvh4F03j2thVeoF4Hh7gMn/v7DybvvgWFXkfMyZ&#10;ETVG9KTawL5Sy8YRncb6GYweLcxCi2dMOXXq7ZLkq4dJdmTTOXhYRzTa0tXxH30yOGIAuwPoMYvE&#10;49loPJ2eTziT0I2mk/NJmkr25m2dD98U1SwKOXcYaqpAbJc+xPxitjeJyTzpqrittE6Xnb/Wjm0F&#10;5o+1KaiJ7XGmhQ9QoJr0i50izB+u2rAG5Y1Rz4ewMd8h7koL+foxAuJpEz1V2sO+1ohVB0+UQrtq&#10;e5BXVOyAsaNuR72VtxWyLFHog3BYSqAHooV7HKUmlEa9xNma3K+/vUd77Aq0nDVY8pz7nxvhFPr/&#10;brBFF8PT08iKdDmdnI9wccea1bHGbOprAo5DUNrKJEb7oPdi6ah+Bh8XMStUwkjkzjnw7sTr0FEP&#10;fJZqsUhG4IEVYWkerdyvVkT3qX0WzvYjD5jZHe3pIGbvJt/ZRqgNLTaByiqtRQS4Q7XfUXAojbnn&#10;eyTp8T1ZvX2V5r8BAAD//wMAUEsDBBQABgAIAAAAIQCfIQdm3gAAAAgBAAAPAAAAZHJzL2Rvd25y&#10;ZXYueG1sTI/BTsMwEETvSPyDtUjcWoeIkiaNU5VK9MShLahnN16SiHgdxW5q/p7lRI+jGc28KdfR&#10;9mLC0XeOFDzNExBItTMdNQo+P95mSxA+aDK6d4QKftDDurq/K3Vh3JUOOB1DI7iEfKEVtCEMhZS+&#10;btFqP3cDEntfbrQ6sBwbaUZ95XLbyzRJXqTVHfFCqwfctlh/Hy9Wwf6wGVzc59vdMMXEn3bL14be&#10;lXp8iJsViIAx/IfhD5/RoWKms7uQ8aJXMMsWnFSQ5ikI9vNswd/OCrLnFGRVytsD1S8AAAD//wMA&#10;UEsBAi0AFAAGAAgAAAAhALaDOJL+AAAA4QEAABMAAAAAAAAAAAAAAAAAAAAAAFtDb250ZW50X1R5&#10;cGVzXS54bWxQSwECLQAUAAYACAAAACEAOP0h/9YAAACUAQAACwAAAAAAAAAAAAAAAAAvAQAAX3Jl&#10;bHMvLnJlbHNQSwECLQAUAAYACAAAACEArIfSumUCAADdBAAADgAAAAAAAAAAAAAAAAAuAgAAZHJz&#10;L2Uyb0RvYy54bWxQSwECLQAUAAYACAAAACEAnyEHZt4AAAAIAQAADwAAAAAAAAAAAAAAAAC/BAAA&#10;ZHJzL2Rvd25yZXYueG1sUEsFBgAAAAAEAAQA8wAAAMoFAAAAAA==&#10;" fillcolor="windowText" strokeweight=".5pt">
                <v:path arrowok="t"/>
                <v:textbox>
                  <w:txbxContent>
                    <w:p w:rsidR="00A707C8" w:rsidRPr="001F2E13" w:rsidRDefault="00A707C8" w:rsidP="00656B55">
                      <w:pPr>
                        <w:jc w:val="center"/>
                        <w:rPr>
                          <w:color w:val="FFFFFF"/>
                          <w:sz w:val="28"/>
                          <w:szCs w:val="28"/>
                        </w:rPr>
                      </w:pPr>
                      <w:r w:rsidRPr="001F2E13">
                        <w:rPr>
                          <w:color w:val="FFFFFF"/>
                          <w:sz w:val="28"/>
                          <w:szCs w:val="28"/>
                        </w:rPr>
                        <w:t>Measure Basic Information</w:t>
                      </w:r>
                    </w:p>
                  </w:txbxContent>
                </v:textbox>
              </v:shape>
            </w:pict>
          </mc:Fallback>
        </mc:AlternateContent>
      </w:r>
    </w:p>
    <w:p w:rsidR="00112912" w:rsidRDefault="00112912" w:rsidP="005348EC">
      <w:pPr>
        <w:tabs>
          <w:tab w:val="left" w:pos="3300"/>
        </w:tabs>
        <w:spacing w:after="120" w:line="240" w:lineRule="auto"/>
      </w:pPr>
    </w:p>
    <w:p w:rsidR="005D33FF" w:rsidRDefault="00994438" w:rsidP="005D33FF">
      <w:pPr>
        <w:tabs>
          <w:tab w:val="left" w:pos="3300"/>
        </w:tabs>
        <w:spacing w:after="0" w:line="240" w:lineRule="auto"/>
        <w:rPr>
          <w:rFonts w:cs="Calibri"/>
          <w:color w:val="000000"/>
        </w:rPr>
      </w:pPr>
      <w:r w:rsidRPr="00D95AA6">
        <w:rPr>
          <w:b/>
        </w:rPr>
        <w:t>Name and date of specifications used:</w:t>
      </w:r>
      <w:r w:rsidR="005D33FF">
        <w:t xml:space="preserve"> </w:t>
      </w:r>
      <w:r w:rsidR="005D33FF" w:rsidRPr="00693EA5">
        <w:rPr>
          <w:rFonts w:cs="Calibri"/>
          <w:color w:val="000000"/>
        </w:rPr>
        <w:t>HEDIS® 201</w:t>
      </w:r>
      <w:r w:rsidR="0055416C">
        <w:rPr>
          <w:rFonts w:cs="Calibri"/>
          <w:color w:val="000000"/>
        </w:rPr>
        <w:t>5</w:t>
      </w:r>
      <w:r w:rsidR="005D33FF" w:rsidRPr="00693EA5">
        <w:rPr>
          <w:rFonts w:cs="Calibri"/>
          <w:color w:val="000000"/>
        </w:rPr>
        <w:t xml:space="preserve"> Technical Specifications for Health Plans (Volume 2)</w:t>
      </w:r>
    </w:p>
    <w:p w:rsidR="005D33FF" w:rsidRDefault="005D33FF" w:rsidP="005D33FF">
      <w:pPr>
        <w:tabs>
          <w:tab w:val="left" w:pos="3300"/>
        </w:tabs>
        <w:spacing w:after="0" w:line="240" w:lineRule="auto"/>
      </w:pPr>
    </w:p>
    <w:p w:rsidR="00112912" w:rsidRDefault="00D06981" w:rsidP="005D33FF">
      <w:pPr>
        <w:tabs>
          <w:tab w:val="left" w:pos="3300"/>
        </w:tabs>
        <w:spacing w:after="0" w:line="240" w:lineRule="auto"/>
        <w:rPr>
          <w:b/>
        </w:rPr>
      </w:pPr>
      <w:r w:rsidRPr="00D06981">
        <w:rPr>
          <w:b/>
        </w:rPr>
        <w:t>U</w:t>
      </w:r>
      <w:r w:rsidR="00112912" w:rsidRPr="00D95AA6">
        <w:rPr>
          <w:b/>
        </w:rPr>
        <w:t>RL of Specifications:</w:t>
      </w:r>
      <w:bookmarkStart w:id="0" w:name="Text4"/>
      <w:r w:rsidR="000F4F62">
        <w:rPr>
          <w:b/>
        </w:rPr>
        <w:t xml:space="preserve"> </w:t>
      </w:r>
      <w:bookmarkEnd w:id="0"/>
    </w:p>
    <w:p w:rsidR="005D33FF" w:rsidRPr="005D33FF" w:rsidRDefault="005D33FF" w:rsidP="00D6230F">
      <w:pPr>
        <w:tabs>
          <w:tab w:val="left" w:pos="3300"/>
        </w:tabs>
        <w:spacing w:after="240" w:line="240" w:lineRule="auto"/>
      </w:pPr>
      <w:r w:rsidRPr="005D33FF">
        <w:t>n/a</w:t>
      </w:r>
    </w:p>
    <w:p w:rsidR="00A31F2A" w:rsidRPr="00824F9C" w:rsidRDefault="00A31F2A" w:rsidP="00A31F2A">
      <w:pPr>
        <w:tabs>
          <w:tab w:val="left" w:pos="3300"/>
        </w:tabs>
        <w:spacing w:after="0" w:line="240" w:lineRule="auto"/>
        <w:rPr>
          <w:b/>
        </w:rPr>
      </w:pPr>
      <w:r w:rsidRPr="00824F9C">
        <w:rPr>
          <w:b/>
        </w:rPr>
        <w:t xml:space="preserve">Measure Type: </w:t>
      </w:r>
    </w:p>
    <w:p w:rsidR="00A31F2A" w:rsidRPr="00824F9C" w:rsidRDefault="00A31F2A" w:rsidP="00A31F2A">
      <w:pPr>
        <w:tabs>
          <w:tab w:val="left" w:pos="3300"/>
        </w:tabs>
        <w:spacing w:after="240" w:line="240" w:lineRule="auto"/>
      </w:pPr>
      <w:r w:rsidRPr="00824F9C">
        <w:t xml:space="preserve">HEDIS </w:t>
      </w:r>
      <w:r w:rsidRPr="00824F9C">
        <w:rPr>
          <w:rFonts w:ascii="Wingdings" w:hAnsi="Wingdings"/>
          <w:sz w:val="32"/>
          <w:szCs w:val="32"/>
        </w:rPr>
        <w:t></w:t>
      </w:r>
      <w:r w:rsidRPr="00824F9C">
        <w:t xml:space="preserve">  PQI</w:t>
      </w:r>
      <w:r w:rsidRPr="00824F9C">
        <w:rPr>
          <w:rFonts w:ascii="Wingdings" w:hAnsi="Wingdings"/>
          <w:sz w:val="28"/>
          <w:szCs w:val="28"/>
        </w:rPr>
        <w:t></w:t>
      </w:r>
      <w:r w:rsidRPr="00824F9C">
        <w:t xml:space="preserve"> Survey</w:t>
      </w:r>
      <w:r w:rsidRPr="00824F9C">
        <w:rPr>
          <w:rFonts w:ascii="Wingdings" w:hAnsi="Wingdings"/>
          <w:sz w:val="28"/>
          <w:szCs w:val="28"/>
        </w:rPr>
        <w:t></w:t>
      </w:r>
      <w:r w:rsidRPr="00824F9C">
        <w:t xml:space="preserve"> </w:t>
      </w:r>
      <w:r w:rsidRPr="00824F9C">
        <w:rPr>
          <w:b/>
        </w:rPr>
        <w:t xml:space="preserve"> </w:t>
      </w:r>
      <w:r w:rsidRPr="00824F9C">
        <w:t>Other</w:t>
      </w:r>
      <w:r w:rsidRPr="00824F9C">
        <w:rPr>
          <w:rFonts w:ascii="Wingdings" w:hAnsi="Wingdings"/>
          <w:sz w:val="28"/>
          <w:szCs w:val="28"/>
        </w:rPr>
        <w:t></w:t>
      </w:r>
      <w:r w:rsidRPr="00824F9C">
        <w:t xml:space="preserve">   Specify: </w:t>
      </w:r>
    </w:p>
    <w:p w:rsidR="00A31F2A" w:rsidRPr="00824F9C" w:rsidRDefault="00A31F2A" w:rsidP="00A31F2A">
      <w:pPr>
        <w:tabs>
          <w:tab w:val="left" w:pos="3300"/>
        </w:tabs>
        <w:spacing w:after="0" w:line="240" w:lineRule="auto"/>
        <w:rPr>
          <w:b/>
        </w:rPr>
      </w:pPr>
      <w:r w:rsidRPr="00824F9C">
        <w:rPr>
          <w:b/>
        </w:rPr>
        <w:t xml:space="preserve">Measure Utility: </w:t>
      </w:r>
    </w:p>
    <w:p w:rsidR="00A31F2A" w:rsidRDefault="00A31F2A" w:rsidP="00A31F2A">
      <w:pPr>
        <w:tabs>
          <w:tab w:val="left" w:pos="3300"/>
        </w:tabs>
        <w:spacing w:after="0" w:line="240" w:lineRule="auto"/>
      </w:pPr>
      <w:r w:rsidRPr="00824F9C">
        <w:t>CCO Incentive</w:t>
      </w:r>
      <w:r w:rsidRPr="00824F9C">
        <w:rPr>
          <w:rFonts w:ascii="Wingdings" w:hAnsi="Wingdings"/>
          <w:sz w:val="28"/>
          <w:szCs w:val="28"/>
        </w:rPr>
        <w:t></w:t>
      </w:r>
      <w:r w:rsidRPr="00824F9C">
        <w:t xml:space="preserve">      Core Performance</w:t>
      </w:r>
      <w:r w:rsidRPr="00824F9C">
        <w:rPr>
          <w:rFonts w:ascii="Wingdings" w:hAnsi="Wingdings"/>
          <w:sz w:val="28"/>
          <w:szCs w:val="28"/>
        </w:rPr>
        <w:t></w:t>
      </w:r>
      <w:r w:rsidRPr="00824F9C">
        <w:t xml:space="preserve">  CMS Adult Set</w:t>
      </w:r>
      <w:bookmarkStart w:id="1" w:name="Check8"/>
      <w:r w:rsidRPr="00824F9C">
        <w:rPr>
          <w:rFonts w:ascii="Wingdings" w:hAnsi="Wingdings"/>
          <w:sz w:val="28"/>
          <w:szCs w:val="28"/>
        </w:rPr>
        <w:t></w:t>
      </w:r>
      <w:r w:rsidRPr="00824F9C">
        <w:t xml:space="preserve"> </w:t>
      </w:r>
      <w:bookmarkEnd w:id="1"/>
      <w:r w:rsidRPr="00824F9C">
        <w:rPr>
          <w:b/>
        </w:rPr>
        <w:t xml:space="preserve">     </w:t>
      </w:r>
      <w:r w:rsidRPr="00824F9C">
        <w:t xml:space="preserve"> CHIPRA</w:t>
      </w:r>
      <w:bookmarkStart w:id="2" w:name="Check9"/>
      <w:r w:rsidRPr="00824F9C">
        <w:t xml:space="preserve"> Set</w:t>
      </w:r>
      <w:r w:rsidRPr="00824F9C">
        <w:rPr>
          <w:rFonts w:ascii="Wingdings" w:hAnsi="Wingdings"/>
          <w:sz w:val="32"/>
          <w:szCs w:val="32"/>
        </w:rPr>
        <w:t></w:t>
      </w:r>
      <w:r w:rsidRPr="00824F9C">
        <w:t xml:space="preserve"> </w:t>
      </w:r>
      <w:bookmarkEnd w:id="2"/>
      <w:r w:rsidRPr="00824F9C">
        <w:t xml:space="preserve">    </w:t>
      </w:r>
      <w:bookmarkStart w:id="3" w:name="Check10"/>
      <w:r w:rsidRPr="00824F9C">
        <w:t>State Performance</w:t>
      </w:r>
      <w:bookmarkEnd w:id="3"/>
      <w:r w:rsidRPr="00824F9C">
        <w:rPr>
          <w:rFonts w:ascii="Wingdings" w:hAnsi="Wingdings"/>
          <w:sz w:val="32"/>
          <w:szCs w:val="32"/>
        </w:rPr>
        <w:t></w:t>
      </w:r>
      <w:r>
        <w:t xml:space="preserve">    </w:t>
      </w:r>
    </w:p>
    <w:p w:rsidR="00A31F2A" w:rsidRDefault="00A31F2A" w:rsidP="00A31F2A">
      <w:pPr>
        <w:tabs>
          <w:tab w:val="left" w:pos="3300"/>
        </w:tabs>
        <w:spacing w:after="120" w:line="240" w:lineRule="auto"/>
      </w:pPr>
      <w:r>
        <w:t>Other</w:t>
      </w:r>
      <w:r>
        <w:rPr>
          <w:rFonts w:ascii="Wingdings" w:hAnsi="Wingdings"/>
          <w:sz w:val="28"/>
          <w:szCs w:val="28"/>
        </w:rPr>
        <w:t></w:t>
      </w:r>
      <w:r>
        <w:t xml:space="preserve">     Specify: </w:t>
      </w:r>
    </w:p>
    <w:p w:rsidR="00A31F2A" w:rsidRDefault="00A31F2A" w:rsidP="00A31F2A">
      <w:pPr>
        <w:tabs>
          <w:tab w:val="left" w:pos="3300"/>
        </w:tabs>
        <w:spacing w:after="0" w:line="240" w:lineRule="auto"/>
      </w:pPr>
      <w:r w:rsidRPr="00D95AA6">
        <w:rPr>
          <w:b/>
        </w:rPr>
        <w:t>Data Source</w:t>
      </w:r>
      <w:r>
        <w:t xml:space="preserve">:  </w:t>
      </w:r>
    </w:p>
    <w:p w:rsidR="00112912" w:rsidRPr="00A31F2A" w:rsidRDefault="00A31F2A" w:rsidP="00D6230F">
      <w:pPr>
        <w:tabs>
          <w:tab w:val="left" w:pos="3300"/>
        </w:tabs>
        <w:spacing w:after="240" w:line="240" w:lineRule="auto"/>
        <w:rPr>
          <w:rFonts w:cs="Calibri"/>
        </w:rPr>
      </w:pPr>
      <w:r>
        <w:t>MMIS/DSSURS</w:t>
      </w:r>
    </w:p>
    <w:p w:rsidR="00994438" w:rsidRDefault="00994438" w:rsidP="00D6230F">
      <w:pPr>
        <w:tabs>
          <w:tab w:val="left" w:pos="3300"/>
        </w:tabs>
        <w:spacing w:after="240" w:line="240" w:lineRule="auto"/>
      </w:pPr>
      <w:r w:rsidRPr="00D95AA6">
        <w:rPr>
          <w:b/>
        </w:rPr>
        <w:t>Measurement Period:</w:t>
      </w:r>
      <w:r>
        <w:t xml:space="preserve"> </w:t>
      </w:r>
      <w:r w:rsidR="00E4757F">
        <w:t>January 1 – December 31, 2015</w:t>
      </w:r>
    </w:p>
    <w:p w:rsidR="00A31F2A" w:rsidRDefault="00A31F2A" w:rsidP="00A31F2A">
      <w:pPr>
        <w:tabs>
          <w:tab w:val="left" w:pos="3300"/>
        </w:tabs>
        <w:spacing w:after="0" w:line="240" w:lineRule="auto"/>
      </w:pPr>
      <w:r>
        <w:rPr>
          <w:b/>
        </w:rPr>
        <w:t xml:space="preserve">2013 </w:t>
      </w:r>
      <w:r w:rsidRPr="00D95AA6">
        <w:rPr>
          <w:b/>
        </w:rPr>
        <w:t>Benchmark</w:t>
      </w:r>
      <w:r w:rsidR="001937E9">
        <w:rPr>
          <w:b/>
        </w:rPr>
        <w:t xml:space="preserve"> (</w:t>
      </w:r>
      <w:r w:rsidR="001937E9" w:rsidRPr="00B57B9E">
        <w:rPr>
          <w:rFonts w:cs="Calibri"/>
          <w:i/>
          <w:iCs/>
          <w:color w:val="000000"/>
        </w:rPr>
        <w:t>201</w:t>
      </w:r>
      <w:r w:rsidR="001937E9">
        <w:rPr>
          <w:rFonts w:cs="Calibri"/>
          <w:i/>
          <w:iCs/>
          <w:color w:val="000000"/>
        </w:rPr>
        <w:t>1</w:t>
      </w:r>
      <w:r w:rsidR="001937E9" w:rsidRPr="00B57B9E">
        <w:rPr>
          <w:rFonts w:cs="Calibri"/>
          <w:i/>
          <w:iCs/>
          <w:color w:val="000000"/>
        </w:rPr>
        <w:t xml:space="preserve"> National Medicaid 75</w:t>
      </w:r>
      <w:r w:rsidR="001937E9" w:rsidRPr="00B57B9E">
        <w:rPr>
          <w:rFonts w:cs="Calibri"/>
          <w:i/>
          <w:iCs/>
          <w:color w:val="000000"/>
          <w:sz w:val="14"/>
          <w:szCs w:val="14"/>
        </w:rPr>
        <w:t xml:space="preserve">th </w:t>
      </w:r>
      <w:r w:rsidR="001937E9" w:rsidRPr="00B57B9E">
        <w:rPr>
          <w:rFonts w:cs="Calibri"/>
          <w:i/>
          <w:iCs/>
          <w:color w:val="000000"/>
        </w:rPr>
        <w:t>percentile</w:t>
      </w:r>
      <w:r w:rsidR="001937E9">
        <w:rPr>
          <w:b/>
        </w:rPr>
        <w:t>)</w:t>
      </w:r>
      <w:r w:rsidRPr="00D95AA6">
        <w:rPr>
          <w:b/>
        </w:rPr>
        <w:t>:</w:t>
      </w:r>
      <w:r>
        <w:t xml:space="preserve"> </w:t>
      </w:r>
    </w:p>
    <w:p w:rsidR="00A31F2A" w:rsidRDefault="00A31F2A" w:rsidP="00A31F2A">
      <w:pPr>
        <w:numPr>
          <w:ilvl w:val="0"/>
          <w:numId w:val="4"/>
        </w:numPr>
        <w:tabs>
          <w:tab w:val="left" w:pos="720"/>
        </w:tabs>
        <w:spacing w:after="0" w:line="240" w:lineRule="auto"/>
        <w:rPr>
          <w:rFonts w:cs="Calibri"/>
          <w:color w:val="000000"/>
        </w:rPr>
      </w:pPr>
      <w:r w:rsidRPr="00B57B9E">
        <w:rPr>
          <w:rFonts w:cs="Calibri"/>
          <w:color w:val="000000"/>
        </w:rPr>
        <w:t xml:space="preserve">12-24 months: 98.2% </w:t>
      </w:r>
    </w:p>
    <w:p w:rsidR="00A31F2A" w:rsidRDefault="00A31F2A" w:rsidP="00A31F2A">
      <w:pPr>
        <w:numPr>
          <w:ilvl w:val="0"/>
          <w:numId w:val="4"/>
        </w:numPr>
        <w:tabs>
          <w:tab w:val="left" w:pos="720"/>
        </w:tabs>
        <w:spacing w:after="0" w:line="240" w:lineRule="auto"/>
        <w:rPr>
          <w:rFonts w:cs="Calibri"/>
          <w:color w:val="000000"/>
        </w:rPr>
      </w:pPr>
      <w:r w:rsidRPr="00B57B9E">
        <w:rPr>
          <w:rFonts w:cs="Calibri"/>
          <w:color w:val="000000"/>
        </w:rPr>
        <w:t xml:space="preserve">25 months – 6 years: 91.6% </w:t>
      </w:r>
    </w:p>
    <w:p w:rsidR="00A31F2A" w:rsidRDefault="00A31F2A" w:rsidP="00A31F2A">
      <w:pPr>
        <w:numPr>
          <w:ilvl w:val="0"/>
          <w:numId w:val="4"/>
        </w:numPr>
        <w:tabs>
          <w:tab w:val="left" w:pos="720"/>
        </w:tabs>
        <w:spacing w:after="0" w:line="240" w:lineRule="auto"/>
        <w:rPr>
          <w:rFonts w:cs="Calibri"/>
          <w:color w:val="000000"/>
        </w:rPr>
      </w:pPr>
      <w:r w:rsidRPr="00B57B9E">
        <w:rPr>
          <w:rFonts w:cs="Calibri"/>
          <w:color w:val="000000"/>
        </w:rPr>
        <w:t xml:space="preserve">7-11 years: 93.0% </w:t>
      </w:r>
    </w:p>
    <w:p w:rsidR="00A31F2A" w:rsidRPr="0046002E" w:rsidRDefault="00A31F2A" w:rsidP="00A31F2A">
      <w:pPr>
        <w:numPr>
          <w:ilvl w:val="0"/>
          <w:numId w:val="4"/>
        </w:numPr>
        <w:tabs>
          <w:tab w:val="left" w:pos="720"/>
        </w:tabs>
        <w:spacing w:after="0" w:line="240" w:lineRule="auto"/>
        <w:rPr>
          <w:rFonts w:cs="Calibri"/>
          <w:color w:val="000000"/>
        </w:rPr>
      </w:pPr>
      <w:r w:rsidRPr="0046002E">
        <w:rPr>
          <w:rFonts w:cs="Calibri"/>
          <w:color w:val="000000"/>
        </w:rPr>
        <w:t>12-19 years: 91.7%</w:t>
      </w:r>
    </w:p>
    <w:p w:rsidR="00A31F2A" w:rsidRPr="001937E9" w:rsidRDefault="00A31F2A" w:rsidP="001937E9">
      <w:pPr>
        <w:numPr>
          <w:ilvl w:val="0"/>
          <w:numId w:val="4"/>
        </w:numPr>
        <w:tabs>
          <w:tab w:val="left" w:pos="720"/>
        </w:tabs>
        <w:spacing w:after="0" w:line="240" w:lineRule="auto"/>
        <w:rPr>
          <w:rFonts w:cs="Calibri"/>
          <w:color w:val="000000"/>
        </w:rPr>
      </w:pPr>
      <w:r w:rsidRPr="0046002E">
        <w:rPr>
          <w:rFonts w:cs="Calibri"/>
          <w:color w:val="000000"/>
        </w:rPr>
        <w:t>Average of all ages: 93.6%</w:t>
      </w:r>
    </w:p>
    <w:p w:rsidR="00A31F2A" w:rsidRDefault="00A31F2A" w:rsidP="00A31F2A">
      <w:pPr>
        <w:tabs>
          <w:tab w:val="left" w:pos="720"/>
        </w:tabs>
        <w:spacing w:after="0" w:line="240" w:lineRule="auto"/>
        <w:rPr>
          <w:b/>
        </w:rPr>
      </w:pPr>
    </w:p>
    <w:p w:rsidR="00A31F2A" w:rsidRDefault="00A31F2A" w:rsidP="00A31F2A">
      <w:pPr>
        <w:tabs>
          <w:tab w:val="left" w:pos="720"/>
        </w:tabs>
        <w:spacing w:after="0" w:line="240" w:lineRule="auto"/>
        <w:rPr>
          <w:rStyle w:val="CommentReference"/>
        </w:rPr>
      </w:pPr>
      <w:r w:rsidRPr="00D9359D">
        <w:rPr>
          <w:b/>
        </w:rPr>
        <w:t>2014 Benchmark</w:t>
      </w:r>
      <w:r w:rsidR="001937E9">
        <w:rPr>
          <w:b/>
        </w:rPr>
        <w:t xml:space="preserve"> (</w:t>
      </w:r>
      <w:r w:rsidR="001937E9" w:rsidRPr="00B57B9E">
        <w:rPr>
          <w:rFonts w:cs="Calibri"/>
          <w:i/>
          <w:iCs/>
          <w:color w:val="000000"/>
        </w:rPr>
        <w:t>201</w:t>
      </w:r>
      <w:r w:rsidR="001937E9">
        <w:rPr>
          <w:rFonts w:cs="Calibri"/>
          <w:i/>
          <w:iCs/>
          <w:color w:val="000000"/>
        </w:rPr>
        <w:t>3</w:t>
      </w:r>
      <w:r w:rsidR="001937E9" w:rsidRPr="00B57B9E">
        <w:rPr>
          <w:rFonts w:cs="Calibri"/>
          <w:i/>
          <w:iCs/>
          <w:color w:val="000000"/>
        </w:rPr>
        <w:t xml:space="preserve"> National Medicaid 75</w:t>
      </w:r>
      <w:r w:rsidR="001937E9" w:rsidRPr="00B57B9E">
        <w:rPr>
          <w:rFonts w:cs="Calibri"/>
          <w:i/>
          <w:iCs/>
          <w:color w:val="000000"/>
          <w:sz w:val="14"/>
          <w:szCs w:val="14"/>
        </w:rPr>
        <w:t xml:space="preserve">th </w:t>
      </w:r>
      <w:r w:rsidR="001937E9" w:rsidRPr="00B57B9E">
        <w:rPr>
          <w:rFonts w:cs="Calibri"/>
          <w:i/>
          <w:iCs/>
          <w:color w:val="000000"/>
        </w:rPr>
        <w:t>percentile</w:t>
      </w:r>
      <w:r w:rsidR="001937E9">
        <w:rPr>
          <w:b/>
        </w:rPr>
        <w:t>)</w:t>
      </w:r>
      <w:r w:rsidRPr="00D9359D">
        <w:rPr>
          <w:b/>
        </w:rPr>
        <w:t xml:space="preserve">: </w:t>
      </w:r>
    </w:p>
    <w:p w:rsidR="00A31F2A" w:rsidRDefault="00A31F2A" w:rsidP="00A31F2A">
      <w:pPr>
        <w:numPr>
          <w:ilvl w:val="0"/>
          <w:numId w:val="5"/>
        </w:numPr>
        <w:tabs>
          <w:tab w:val="left" w:pos="720"/>
        </w:tabs>
        <w:spacing w:after="0" w:line="240" w:lineRule="auto"/>
        <w:rPr>
          <w:rFonts w:cs="Calibri"/>
          <w:color w:val="000000"/>
        </w:rPr>
      </w:pPr>
      <w:r w:rsidRPr="00B57B9E">
        <w:rPr>
          <w:rFonts w:cs="Calibri"/>
          <w:color w:val="000000"/>
        </w:rPr>
        <w:t xml:space="preserve">12-24 months: </w:t>
      </w:r>
      <w:r>
        <w:rPr>
          <w:rFonts w:cs="Calibri"/>
          <w:color w:val="000000"/>
        </w:rPr>
        <w:t xml:space="preserve">97.8% </w:t>
      </w:r>
    </w:p>
    <w:p w:rsidR="00A31F2A" w:rsidRDefault="00A31F2A" w:rsidP="00A31F2A">
      <w:pPr>
        <w:numPr>
          <w:ilvl w:val="0"/>
          <w:numId w:val="4"/>
        </w:numPr>
        <w:tabs>
          <w:tab w:val="left" w:pos="720"/>
        </w:tabs>
        <w:spacing w:after="0" w:line="240" w:lineRule="auto"/>
        <w:rPr>
          <w:rFonts w:cs="Calibri"/>
          <w:color w:val="000000"/>
        </w:rPr>
      </w:pPr>
      <w:r w:rsidRPr="00B57B9E">
        <w:rPr>
          <w:rFonts w:cs="Calibri"/>
          <w:color w:val="000000"/>
        </w:rPr>
        <w:t xml:space="preserve">25 months – 6 years: </w:t>
      </w:r>
      <w:r>
        <w:rPr>
          <w:rFonts w:cs="Calibri"/>
          <w:color w:val="000000"/>
        </w:rPr>
        <w:t>91.2%</w:t>
      </w:r>
    </w:p>
    <w:p w:rsidR="00A31F2A" w:rsidRDefault="00A31F2A" w:rsidP="00A31F2A">
      <w:pPr>
        <w:numPr>
          <w:ilvl w:val="0"/>
          <w:numId w:val="4"/>
        </w:numPr>
        <w:tabs>
          <w:tab w:val="left" w:pos="720"/>
        </w:tabs>
        <w:spacing w:after="0" w:line="240" w:lineRule="auto"/>
        <w:rPr>
          <w:rFonts w:cs="Calibri"/>
          <w:color w:val="000000"/>
        </w:rPr>
      </w:pPr>
      <w:r w:rsidRPr="00B57B9E">
        <w:rPr>
          <w:rFonts w:cs="Calibri"/>
          <w:color w:val="000000"/>
        </w:rPr>
        <w:t xml:space="preserve">7-11 years: </w:t>
      </w:r>
      <w:r>
        <w:rPr>
          <w:rFonts w:cs="Calibri"/>
          <w:color w:val="000000"/>
        </w:rPr>
        <w:t>93.3%</w:t>
      </w:r>
    </w:p>
    <w:p w:rsidR="00A31F2A" w:rsidRDefault="00A31F2A" w:rsidP="00A31F2A">
      <w:pPr>
        <w:numPr>
          <w:ilvl w:val="0"/>
          <w:numId w:val="4"/>
        </w:numPr>
        <w:tabs>
          <w:tab w:val="left" w:pos="720"/>
        </w:tabs>
        <w:spacing w:after="0" w:line="240" w:lineRule="auto"/>
        <w:rPr>
          <w:rFonts w:cs="Calibri"/>
          <w:color w:val="000000"/>
        </w:rPr>
      </w:pPr>
      <w:r w:rsidRPr="00B57B9E">
        <w:rPr>
          <w:rFonts w:cs="Calibri"/>
          <w:color w:val="000000"/>
        </w:rPr>
        <w:t xml:space="preserve">12-19 years: </w:t>
      </w:r>
      <w:r>
        <w:rPr>
          <w:rFonts w:cs="Calibri"/>
          <w:color w:val="000000"/>
        </w:rPr>
        <w:t>91.8%</w:t>
      </w:r>
    </w:p>
    <w:p w:rsidR="00A31F2A" w:rsidRDefault="00A31F2A" w:rsidP="00A31F2A">
      <w:pPr>
        <w:numPr>
          <w:ilvl w:val="0"/>
          <w:numId w:val="4"/>
        </w:numPr>
        <w:tabs>
          <w:tab w:val="left" w:pos="720"/>
        </w:tabs>
        <w:spacing w:after="0" w:line="240" w:lineRule="auto"/>
        <w:rPr>
          <w:rFonts w:cs="Calibri"/>
          <w:color w:val="000000"/>
        </w:rPr>
      </w:pPr>
      <w:r>
        <w:rPr>
          <w:rFonts w:cs="Calibri"/>
          <w:color w:val="000000"/>
        </w:rPr>
        <w:t>Average of all ages: 93.5%</w:t>
      </w:r>
    </w:p>
    <w:p w:rsidR="00A31F2A" w:rsidRDefault="00A31F2A" w:rsidP="00A31F2A">
      <w:pPr>
        <w:tabs>
          <w:tab w:val="left" w:pos="720"/>
        </w:tabs>
        <w:spacing w:after="0" w:line="240" w:lineRule="auto"/>
        <w:rPr>
          <w:rFonts w:cs="Calibri"/>
          <w:i/>
          <w:iCs/>
          <w:color w:val="000000"/>
        </w:rPr>
      </w:pPr>
    </w:p>
    <w:p w:rsidR="00A31F2A" w:rsidRDefault="00A31F2A" w:rsidP="00A31F2A">
      <w:pPr>
        <w:tabs>
          <w:tab w:val="left" w:pos="720"/>
        </w:tabs>
        <w:spacing w:after="0" w:line="240" w:lineRule="auto"/>
        <w:rPr>
          <w:rFonts w:cs="Calibri"/>
          <w:b/>
          <w:iCs/>
          <w:color w:val="000000"/>
        </w:rPr>
      </w:pPr>
      <w:r w:rsidRPr="00A13B1C">
        <w:rPr>
          <w:rFonts w:cs="Calibri"/>
          <w:b/>
          <w:iCs/>
          <w:color w:val="000000"/>
        </w:rPr>
        <w:t>2015 Benchmark</w:t>
      </w:r>
      <w:r w:rsidR="001937E9">
        <w:rPr>
          <w:rFonts w:cs="Calibri"/>
          <w:b/>
          <w:iCs/>
          <w:color w:val="000000"/>
        </w:rPr>
        <w:t xml:space="preserve"> (</w:t>
      </w:r>
      <w:r w:rsidR="001937E9">
        <w:rPr>
          <w:rFonts w:cs="Calibri"/>
          <w:i/>
          <w:iCs/>
          <w:color w:val="000000"/>
        </w:rPr>
        <w:t>2014 National Medicaid 75</w:t>
      </w:r>
      <w:r w:rsidR="001937E9" w:rsidRPr="00A13B1C">
        <w:rPr>
          <w:rFonts w:cs="Calibri"/>
          <w:i/>
          <w:iCs/>
          <w:color w:val="000000"/>
          <w:vertAlign w:val="superscript"/>
        </w:rPr>
        <w:t>th</w:t>
      </w:r>
      <w:r w:rsidR="001937E9">
        <w:rPr>
          <w:rFonts w:cs="Calibri"/>
          <w:i/>
          <w:iCs/>
          <w:color w:val="000000"/>
        </w:rPr>
        <w:t xml:space="preserve"> percentile</w:t>
      </w:r>
      <w:r w:rsidR="001937E9">
        <w:rPr>
          <w:rFonts w:cs="Calibri"/>
          <w:b/>
          <w:iCs/>
          <w:color w:val="000000"/>
        </w:rPr>
        <w:t>)</w:t>
      </w:r>
      <w:r w:rsidRPr="00A13B1C">
        <w:rPr>
          <w:rFonts w:cs="Calibri"/>
          <w:b/>
          <w:iCs/>
          <w:color w:val="000000"/>
        </w:rPr>
        <w:t>:</w:t>
      </w:r>
    </w:p>
    <w:p w:rsidR="00A13B1C" w:rsidRDefault="00A13B1C" w:rsidP="00A13B1C">
      <w:pPr>
        <w:pStyle w:val="ListParagraph"/>
        <w:numPr>
          <w:ilvl w:val="0"/>
          <w:numId w:val="6"/>
        </w:numPr>
        <w:tabs>
          <w:tab w:val="left" w:pos="720"/>
        </w:tabs>
        <w:spacing w:after="0" w:line="240" w:lineRule="auto"/>
        <w:rPr>
          <w:rFonts w:cs="Calibri"/>
          <w:iCs/>
          <w:color w:val="000000"/>
        </w:rPr>
      </w:pPr>
      <w:r>
        <w:rPr>
          <w:rFonts w:cs="Calibri"/>
          <w:iCs/>
          <w:color w:val="000000"/>
        </w:rPr>
        <w:t>12-24 months: 97.9%</w:t>
      </w:r>
    </w:p>
    <w:p w:rsidR="00A13B1C" w:rsidRDefault="00A13B1C" w:rsidP="00A13B1C">
      <w:pPr>
        <w:pStyle w:val="ListParagraph"/>
        <w:numPr>
          <w:ilvl w:val="0"/>
          <w:numId w:val="6"/>
        </w:numPr>
        <w:tabs>
          <w:tab w:val="left" w:pos="720"/>
        </w:tabs>
        <w:spacing w:after="0" w:line="240" w:lineRule="auto"/>
        <w:rPr>
          <w:rFonts w:cs="Calibri"/>
          <w:iCs/>
          <w:color w:val="000000"/>
        </w:rPr>
      </w:pPr>
      <w:r>
        <w:rPr>
          <w:rFonts w:cs="Calibri"/>
          <w:iCs/>
          <w:color w:val="000000"/>
        </w:rPr>
        <w:t>25 months – 6 years: 91.7%</w:t>
      </w:r>
    </w:p>
    <w:p w:rsidR="00A13B1C" w:rsidRDefault="00A13B1C" w:rsidP="00A13B1C">
      <w:pPr>
        <w:pStyle w:val="ListParagraph"/>
        <w:numPr>
          <w:ilvl w:val="0"/>
          <w:numId w:val="6"/>
        </w:numPr>
        <w:tabs>
          <w:tab w:val="left" w:pos="720"/>
        </w:tabs>
        <w:spacing w:after="0" w:line="240" w:lineRule="auto"/>
        <w:rPr>
          <w:rFonts w:cs="Calibri"/>
          <w:iCs/>
          <w:color w:val="000000"/>
        </w:rPr>
      </w:pPr>
      <w:r>
        <w:rPr>
          <w:rFonts w:cs="Calibri"/>
          <w:iCs/>
          <w:color w:val="000000"/>
        </w:rPr>
        <w:t>7-11 years: 93.5%</w:t>
      </w:r>
    </w:p>
    <w:p w:rsidR="00A13B1C" w:rsidRDefault="00A13B1C" w:rsidP="00A13B1C">
      <w:pPr>
        <w:pStyle w:val="ListParagraph"/>
        <w:numPr>
          <w:ilvl w:val="0"/>
          <w:numId w:val="6"/>
        </w:numPr>
        <w:tabs>
          <w:tab w:val="left" w:pos="720"/>
        </w:tabs>
        <w:spacing w:after="0" w:line="240" w:lineRule="auto"/>
        <w:rPr>
          <w:rFonts w:cs="Calibri"/>
          <w:iCs/>
          <w:color w:val="000000"/>
        </w:rPr>
      </w:pPr>
      <w:r>
        <w:rPr>
          <w:rFonts w:cs="Calibri"/>
          <w:iCs/>
          <w:color w:val="000000"/>
        </w:rPr>
        <w:t>12-19 years: 92.2%</w:t>
      </w:r>
    </w:p>
    <w:p w:rsidR="00A13B1C" w:rsidRPr="001937E9" w:rsidRDefault="00A13B1C" w:rsidP="001937E9">
      <w:pPr>
        <w:pStyle w:val="ListParagraph"/>
        <w:numPr>
          <w:ilvl w:val="0"/>
          <w:numId w:val="6"/>
        </w:numPr>
        <w:tabs>
          <w:tab w:val="left" w:pos="720"/>
        </w:tabs>
        <w:spacing w:after="0" w:line="240" w:lineRule="auto"/>
        <w:rPr>
          <w:rFonts w:cs="Calibri"/>
          <w:iCs/>
          <w:color w:val="000000"/>
        </w:rPr>
      </w:pPr>
      <w:r>
        <w:rPr>
          <w:rFonts w:cs="Calibri"/>
          <w:iCs/>
          <w:color w:val="000000"/>
        </w:rPr>
        <w:t>Average of all ages: 93.8%</w:t>
      </w:r>
    </w:p>
    <w:p w:rsidR="00E939B6" w:rsidRPr="00E939B6" w:rsidRDefault="00E939B6" w:rsidP="00A31F2A">
      <w:pPr>
        <w:tabs>
          <w:tab w:val="left" w:pos="720"/>
        </w:tabs>
        <w:spacing w:after="0" w:line="240" w:lineRule="auto"/>
        <w:rPr>
          <w:rFonts w:cs="Calibri"/>
          <w:iCs/>
          <w:color w:val="000000"/>
        </w:rPr>
      </w:pPr>
    </w:p>
    <w:p w:rsidR="00D9359D" w:rsidRDefault="00A707C8" w:rsidP="00D9359D">
      <w:pPr>
        <w:tabs>
          <w:tab w:val="left" w:pos="3300"/>
        </w:tabs>
        <w:spacing w:after="0" w:line="240" w:lineRule="auto"/>
        <w:rPr>
          <w:b/>
        </w:rPr>
      </w:pPr>
      <w:r>
        <w:rPr>
          <w:b/>
        </w:rPr>
        <w:t>Measure c</w:t>
      </w:r>
      <w:r w:rsidR="00D9359D">
        <w:rPr>
          <w:b/>
        </w:rPr>
        <w:t>hanges in specifications</w:t>
      </w:r>
      <w:r>
        <w:rPr>
          <w:b/>
        </w:rPr>
        <w:t xml:space="preserve"> </w:t>
      </w:r>
      <w:r w:rsidR="00FC21C0">
        <w:rPr>
          <w:b/>
        </w:rPr>
        <w:t>from 201</w:t>
      </w:r>
      <w:r w:rsidR="00AB47F4">
        <w:rPr>
          <w:b/>
        </w:rPr>
        <w:t>4</w:t>
      </w:r>
      <w:r w:rsidR="00FC21C0">
        <w:rPr>
          <w:b/>
        </w:rPr>
        <w:t xml:space="preserve"> to 201</w:t>
      </w:r>
      <w:r w:rsidR="00AB47F4">
        <w:rPr>
          <w:b/>
        </w:rPr>
        <w:t>5</w:t>
      </w:r>
      <w:r w:rsidR="00D9359D">
        <w:rPr>
          <w:b/>
        </w:rPr>
        <w:t>:</w:t>
      </w:r>
      <w:r w:rsidR="00F52B9F">
        <w:rPr>
          <w:b/>
        </w:rPr>
        <w:t xml:space="preserve"> </w:t>
      </w:r>
    </w:p>
    <w:p w:rsidR="00591805" w:rsidRDefault="001207E6" w:rsidP="00591805">
      <w:pPr>
        <w:tabs>
          <w:tab w:val="left" w:pos="3300"/>
        </w:tabs>
        <w:spacing w:after="120" w:line="240" w:lineRule="auto"/>
      </w:pPr>
      <w:r>
        <w:t>OHA is using HEDIS</w:t>
      </w:r>
      <w:r w:rsidR="0055416C" w:rsidRPr="001A3600">
        <w:rPr>
          <w:rFonts w:cs="Calibri"/>
          <w:color w:val="000000"/>
        </w:rPr>
        <w:t>®</w:t>
      </w:r>
      <w:r>
        <w:t xml:space="preserve"> 201</w:t>
      </w:r>
      <w:r w:rsidR="00AB47F4">
        <w:t>5</w:t>
      </w:r>
      <w:r>
        <w:t xml:space="preserve"> specifications for all 201</w:t>
      </w:r>
      <w:r w:rsidR="00AB47F4">
        <w:t>5</w:t>
      </w:r>
      <w:r>
        <w:t xml:space="preserve"> measurement</w:t>
      </w:r>
      <w:r w:rsidR="004035B6">
        <w:t>s</w:t>
      </w:r>
      <w:r>
        <w:t xml:space="preserve">. </w:t>
      </w:r>
      <w:r w:rsidR="00591805" w:rsidRPr="005C0675">
        <w:t>There were no changes between HEDIS</w:t>
      </w:r>
      <w:r w:rsidR="00591805" w:rsidRPr="005C0675">
        <w:rPr>
          <w:rFonts w:cs="Calibri"/>
          <w:color w:val="000000"/>
        </w:rPr>
        <w:t>®</w:t>
      </w:r>
      <w:r w:rsidR="00591805" w:rsidRPr="005C0675">
        <w:t xml:space="preserve"> </w:t>
      </w:r>
      <w:r w:rsidR="00591805" w:rsidRPr="005C0675">
        <w:rPr>
          <w:u w:val="single"/>
        </w:rPr>
        <w:t>2013</w:t>
      </w:r>
      <w:r w:rsidR="00591805" w:rsidRPr="005C0675">
        <w:t xml:space="preserve"> and HEDIS</w:t>
      </w:r>
      <w:r w:rsidR="00591805" w:rsidRPr="005C0675">
        <w:rPr>
          <w:rFonts w:cs="Calibri"/>
          <w:color w:val="000000"/>
        </w:rPr>
        <w:t>®</w:t>
      </w:r>
      <w:r w:rsidR="00591805" w:rsidRPr="005C0675">
        <w:t xml:space="preserve"> 2015.</w:t>
      </w:r>
    </w:p>
    <w:p w:rsidR="008D66AE" w:rsidRDefault="008D66AE" w:rsidP="008D66AE">
      <w:pPr>
        <w:tabs>
          <w:tab w:val="left" w:pos="3300"/>
        </w:tabs>
        <w:spacing w:after="120" w:line="240" w:lineRule="auto"/>
      </w:pPr>
      <w:r>
        <w:lastRenderedPageBreak/>
        <w:t>For measurements involving NDC lists published by NCQA (</w:t>
      </w:r>
      <w:r w:rsidRPr="00221B17">
        <w:t>http://www.ncqa.org</w:t>
      </w:r>
      <w:r>
        <w:t>), OHA will use the latest available version for the measures; 2016 NDC lists will be used for the final calculations of 2015 measurement year. Before the 2016 NDC lists are available, OHA will use the 2015 lists for any progress reports.</w:t>
      </w:r>
    </w:p>
    <w:p w:rsidR="008D66AE" w:rsidRDefault="008D66AE" w:rsidP="008D66AE">
      <w:pPr>
        <w:tabs>
          <w:tab w:val="left" w:pos="3300"/>
        </w:tabs>
        <w:spacing w:after="120" w:line="240" w:lineRule="auto"/>
      </w:pPr>
      <w:r w:rsidRPr="00773AFA">
        <w:t>For 2015 measurement, OHA is only including CCO A and CCO B members. For dental related measures (e.g., dental sealants, DHS custody) OHA is only including CCO A members.</w:t>
      </w:r>
    </w:p>
    <w:p w:rsidR="00AB47F4" w:rsidRDefault="00AB47F4" w:rsidP="001207E6">
      <w:pPr>
        <w:tabs>
          <w:tab w:val="left" w:pos="3300"/>
        </w:tabs>
        <w:spacing w:after="0" w:line="240" w:lineRule="auto"/>
      </w:pPr>
    </w:p>
    <w:p w:rsidR="00AB47F4" w:rsidRDefault="00AB47F4" w:rsidP="00AB47F4">
      <w:r w:rsidRPr="00B5310E">
        <w:rPr>
          <w:i/>
          <w:iCs/>
        </w:rPr>
        <w:t xml:space="preserve">HEDIS specifications are written for multiple lines of business and include a broad set of codes that could be used for measurement. OHA is not using all codes listed in the HEDIS specifications. Codes OHA is not using include, but are not limited to, LOINC, CPT, and HCPCS codes that are not open to Medicaid in Oregon. A general rule of thumb is that only CPT/HCPCS codes associated with the prioritized list will be used to calculate the measures; however as some measure specifications include denied claims, a claim that was denied because it included codes not on the prioritized list might still be counted toward the measure. </w:t>
      </w:r>
    </w:p>
    <w:p w:rsidR="00D9359D" w:rsidRPr="00BA15BE" w:rsidRDefault="00BA15BE" w:rsidP="005348EC">
      <w:pPr>
        <w:tabs>
          <w:tab w:val="left" w:pos="3300"/>
        </w:tabs>
        <w:spacing w:after="120" w:line="240" w:lineRule="auto"/>
      </w:pPr>
      <w:r>
        <w:rPr>
          <w:b/>
        </w:rPr>
        <w:t xml:space="preserve">Denied claims: </w:t>
      </w:r>
      <w:r>
        <w:t xml:space="preserve">Included </w:t>
      </w:r>
      <w:r w:rsidR="00A31F2A" w:rsidRPr="00824F9C">
        <w:rPr>
          <w:rFonts w:ascii="Wingdings" w:hAnsi="Wingdings"/>
          <w:sz w:val="32"/>
          <w:szCs w:val="32"/>
        </w:rPr>
        <w:t></w:t>
      </w:r>
      <w:r>
        <w:tab/>
        <w:t>Not included</w:t>
      </w:r>
      <w:r w:rsidR="00871390">
        <w:t xml:space="preserve"> </w:t>
      </w:r>
      <w:r w:rsidR="00871390">
        <w:rPr>
          <w:rFonts w:ascii="Wingdings" w:hAnsi="Wingdings"/>
          <w:sz w:val="28"/>
          <w:szCs w:val="28"/>
        </w:rPr>
        <w:t></w:t>
      </w:r>
    </w:p>
    <w:p w:rsidR="00F84E6D" w:rsidRDefault="00F84E6D" w:rsidP="005348EC">
      <w:pPr>
        <w:tabs>
          <w:tab w:val="left" w:pos="3300"/>
        </w:tabs>
        <w:spacing w:after="120" w:line="240" w:lineRule="auto"/>
      </w:pPr>
      <w:r>
        <w:rPr>
          <w:noProof/>
        </w:rPr>
        <mc:AlternateContent>
          <mc:Choice Requires="wps">
            <w:drawing>
              <wp:anchor distT="0" distB="0" distL="114300" distR="114300" simplePos="0" relativeHeight="251664384" behindDoc="0" locked="0" layoutInCell="1" allowOverlap="1" wp14:anchorId="54635F50" wp14:editId="034C6957">
                <wp:simplePos x="0" y="0"/>
                <wp:positionH relativeFrom="column">
                  <wp:posOffset>-50500</wp:posOffset>
                </wp:positionH>
                <wp:positionV relativeFrom="paragraph">
                  <wp:posOffset>104907</wp:posOffset>
                </wp:positionV>
                <wp:extent cx="6238875" cy="285750"/>
                <wp:effectExtent l="0" t="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285750"/>
                        </a:xfrm>
                        <a:prstGeom prst="rect">
                          <a:avLst/>
                        </a:prstGeom>
                        <a:solidFill>
                          <a:sysClr val="windowText" lastClr="000000"/>
                        </a:solidFill>
                        <a:ln w="6350">
                          <a:solidFill>
                            <a:prstClr val="black"/>
                          </a:solidFill>
                        </a:ln>
                        <a:effectLst/>
                      </wps:spPr>
                      <wps:txbx>
                        <w:txbxContent>
                          <w:p w:rsidR="00A707C8" w:rsidRPr="001F2E13" w:rsidRDefault="00A707C8" w:rsidP="00F84E6D">
                            <w:pPr>
                              <w:jc w:val="center"/>
                              <w:rPr>
                                <w:color w:val="FFFFFF"/>
                                <w:sz w:val="28"/>
                                <w:szCs w:val="28"/>
                              </w:rPr>
                            </w:pPr>
                            <w:r>
                              <w:rPr>
                                <w:color w:val="FFFFFF"/>
                                <w:sz w:val="28"/>
                                <w:szCs w:val="28"/>
                              </w:rPr>
                              <w:t>Measure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4635F50" id="Text Box 1" o:spid="_x0000_s1027" type="#_x0000_t202" style="position:absolute;margin-left:-4pt;margin-top:8.25pt;width:491.2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yQwZgIAAOQEAAAOAAAAZHJzL2Uyb0RvYy54bWysVF1P2zAUfZ+0/2D5faQtFLqIFHUgpkkV&#10;IMHEs+s4NMLx9Wy3Sffrd+ykpYI9TeuDa/se349zz83lVddotlXO12QKPj4ZcaaMpLI2LwX/+XT7&#10;ZcaZD8KUQpNRBd8pz6/mnz9dtjZXE1qTLpVjcGJ83tqCr0OweZZ5uVaN8CdklYGxIteIgKN7yUon&#10;WnhvdDYZjc6zllxpHUnlPW5veiOfJ/9VpWS4ryqvAtMFR24hrS6tq7hm80uRvzhh17Uc0hD/kEUj&#10;aoOgB1c3Igi2cfUHV00tHXmqwomkJqOqqqVKNaCa8ehdNY9rYVWqBeR4e6DJ/z+38m774Fhdonec&#10;GdGgRU+qC+wbdWwc2WmtzwF6tICFDtcRGSv1dkny1QOSHWH6Bx7oiOkq18R/1MnwEA3YHUiPUSQu&#10;zyens9nFlDMJ22Q2vZimrmRvr63z4buihsVNwR2amjIQ26UPMb7I95CUGOm6vK21Toedv9aObQX6&#10;D9mU1MbyONPCBxiQTfrFSuHGHz/VhrVI7xT5fHAb4x38rrSQrx89wJ828aVKOhxyjVz19MRd6Fbd&#10;wP7A9YrKHah21EvVW3lbI9gS+T4IB22CRMxbuMdSaUKGNOw4W5P7/bf7iIdkYOWshdYL7n9thFOg&#10;4YeBmL6Oz87icKTD2fRigoM7tqyOLWbTXBPohGCQXdpGfND7beWoecZYLmJUmISRiF1w0N5vr0M/&#10;gRhrqRaLBMI4WBGW5tHKvcIiyU/ds3B26HxA6+5oPxUifyeAHhsZN7TYBKrqpI7Ic8/qIFWMUur2&#10;MPZxVo/PCfX2cZr/AQAA//8DAFBLAwQUAAYACAAAACEAyM6zLd0AAAAIAQAADwAAAGRycy9kb3du&#10;cmV2LnhtbEyPQU/DMAyF70j8h8hI3LZ0iJWuNJ3GJHbisA3EOWtMW9E4UZN14d9jTuxm+z09f69a&#10;JzuICcfQO1KwmGcgkBpnemoVfLy/zgoQIWoyenCECn4wwLq+val0adyFDjgdYys4hEKpFXQx+lLK&#10;0HRodZg7j8TalxutjryOrTSjvnC4HeRDluXS6p74Q6c9bjtsvo9nq2B/2HiX9qvtzk8pC5+74qWl&#10;N6Xu79LmGUTEFP/N8IfP6FAz08mdyQQxKJgVXCXyPV+CYH319MjDSUG+WIKsK3ldoP4FAAD//wMA&#10;UEsBAi0AFAAGAAgAAAAhALaDOJL+AAAA4QEAABMAAAAAAAAAAAAAAAAAAAAAAFtDb250ZW50X1R5&#10;cGVzXS54bWxQSwECLQAUAAYACAAAACEAOP0h/9YAAACUAQAACwAAAAAAAAAAAAAAAAAvAQAAX3Jl&#10;bHMvLnJlbHNQSwECLQAUAAYACAAAACEAewskMGYCAADkBAAADgAAAAAAAAAAAAAAAAAuAgAAZHJz&#10;L2Uyb0RvYy54bWxQSwECLQAUAAYACAAAACEAyM6zLd0AAAAIAQAADwAAAAAAAAAAAAAAAADABAAA&#10;ZHJzL2Rvd25yZXYueG1sUEsFBgAAAAAEAAQA8wAAAMoFAAAAAA==&#10;" fillcolor="windowText" strokeweight=".5pt">
                <v:path arrowok="t"/>
                <v:textbox>
                  <w:txbxContent>
                    <w:p w:rsidR="00A707C8" w:rsidRPr="001F2E13" w:rsidRDefault="00A707C8" w:rsidP="00F84E6D">
                      <w:pPr>
                        <w:jc w:val="center"/>
                        <w:rPr>
                          <w:color w:val="FFFFFF"/>
                          <w:sz w:val="28"/>
                          <w:szCs w:val="28"/>
                        </w:rPr>
                      </w:pPr>
                      <w:r>
                        <w:rPr>
                          <w:color w:val="FFFFFF"/>
                          <w:sz w:val="28"/>
                          <w:szCs w:val="28"/>
                        </w:rPr>
                        <w:t>Measure Details</w:t>
                      </w:r>
                    </w:p>
                  </w:txbxContent>
                </v:textbox>
              </v:shape>
            </w:pict>
          </mc:Fallback>
        </mc:AlternateContent>
      </w:r>
    </w:p>
    <w:p w:rsidR="00F84E6D" w:rsidRDefault="00F84E6D" w:rsidP="005348EC">
      <w:pPr>
        <w:tabs>
          <w:tab w:val="left" w:pos="3300"/>
        </w:tabs>
        <w:spacing w:after="120" w:line="240" w:lineRule="auto"/>
      </w:pPr>
    </w:p>
    <w:p w:rsidR="00A31F2A" w:rsidRDefault="00A31F2A" w:rsidP="00A31F2A">
      <w:pPr>
        <w:spacing w:after="0" w:line="240" w:lineRule="auto"/>
        <w:rPr>
          <w:b/>
        </w:rPr>
      </w:pPr>
      <w:r w:rsidRPr="00D9738E">
        <w:rPr>
          <w:b/>
        </w:rPr>
        <w:t xml:space="preserve">Data elements required denominator: </w:t>
      </w:r>
    </w:p>
    <w:p w:rsidR="00A31F2A" w:rsidRDefault="00A31F2A" w:rsidP="00A31F2A">
      <w:pPr>
        <w:spacing w:after="240" w:line="240" w:lineRule="auto"/>
        <w:rPr>
          <w:rFonts w:cs="Calibri"/>
          <w:color w:val="000000"/>
        </w:rPr>
      </w:pPr>
      <w:r w:rsidRPr="00B57B9E">
        <w:rPr>
          <w:rFonts w:cs="Calibri"/>
          <w:color w:val="000000"/>
        </w:rPr>
        <w:t xml:space="preserve">Children ages 12 months to 19 years </w:t>
      </w:r>
      <w:r>
        <w:rPr>
          <w:rFonts w:cs="Calibri"/>
          <w:color w:val="000000"/>
        </w:rPr>
        <w:t>as of December 31</w:t>
      </w:r>
      <w:r w:rsidRPr="001A3600">
        <w:rPr>
          <w:rFonts w:cs="Calibri"/>
          <w:color w:val="000000"/>
          <w:vertAlign w:val="superscript"/>
        </w:rPr>
        <w:t>st</w:t>
      </w:r>
      <w:r>
        <w:rPr>
          <w:rFonts w:cs="Calibri"/>
          <w:color w:val="000000"/>
        </w:rPr>
        <w:t xml:space="preserve"> of the measurement year </w:t>
      </w:r>
      <w:r w:rsidRPr="00B57B9E">
        <w:rPr>
          <w:rFonts w:cs="Calibri"/>
          <w:color w:val="000000"/>
        </w:rPr>
        <w:t>who meet continuous enrollment criteria.</w:t>
      </w:r>
      <w:r>
        <w:rPr>
          <w:rFonts w:cs="Calibri"/>
          <w:color w:val="000000"/>
        </w:rPr>
        <w:t xml:space="preserve"> Four age stratifications are used:</w:t>
      </w:r>
    </w:p>
    <w:p w:rsidR="00A31F2A" w:rsidRDefault="00A31F2A" w:rsidP="00A31F2A">
      <w:pPr>
        <w:numPr>
          <w:ilvl w:val="0"/>
          <w:numId w:val="4"/>
        </w:numPr>
        <w:spacing w:after="240" w:line="240" w:lineRule="auto"/>
        <w:rPr>
          <w:rFonts w:cs="Calibri"/>
          <w:color w:val="000000"/>
        </w:rPr>
      </w:pPr>
      <w:r>
        <w:rPr>
          <w:rFonts w:cs="Calibri"/>
          <w:color w:val="000000"/>
        </w:rPr>
        <w:t>12-24 months as of December 31</w:t>
      </w:r>
      <w:r w:rsidRPr="001A3600">
        <w:rPr>
          <w:rFonts w:cs="Calibri"/>
          <w:color w:val="000000"/>
          <w:vertAlign w:val="superscript"/>
        </w:rPr>
        <w:t>st</w:t>
      </w:r>
      <w:r>
        <w:rPr>
          <w:rFonts w:cs="Calibri"/>
          <w:color w:val="000000"/>
        </w:rPr>
        <w:t xml:space="preserve"> of the measurement year. </w:t>
      </w:r>
    </w:p>
    <w:p w:rsidR="00A31F2A" w:rsidRDefault="00A31F2A" w:rsidP="00A31F2A">
      <w:pPr>
        <w:numPr>
          <w:ilvl w:val="0"/>
          <w:numId w:val="4"/>
        </w:numPr>
        <w:spacing w:after="240" w:line="240" w:lineRule="auto"/>
        <w:rPr>
          <w:rFonts w:cs="Calibri"/>
          <w:color w:val="000000"/>
        </w:rPr>
      </w:pPr>
      <w:r>
        <w:rPr>
          <w:rFonts w:cs="Calibri"/>
          <w:color w:val="000000"/>
        </w:rPr>
        <w:t>2</w:t>
      </w:r>
      <w:r w:rsidR="0055416C">
        <w:rPr>
          <w:rFonts w:cs="Calibri"/>
          <w:color w:val="000000"/>
        </w:rPr>
        <w:t>5</w:t>
      </w:r>
      <w:r>
        <w:rPr>
          <w:rFonts w:cs="Calibri"/>
          <w:color w:val="000000"/>
        </w:rPr>
        <w:t xml:space="preserve"> months – 6 years as of December 31</w:t>
      </w:r>
      <w:r w:rsidRPr="001A3600">
        <w:rPr>
          <w:rFonts w:cs="Calibri"/>
          <w:color w:val="000000"/>
          <w:vertAlign w:val="superscript"/>
        </w:rPr>
        <w:t>st</w:t>
      </w:r>
      <w:r>
        <w:rPr>
          <w:rFonts w:cs="Calibri"/>
          <w:color w:val="000000"/>
        </w:rPr>
        <w:t xml:space="preserve"> of the measurement year. </w:t>
      </w:r>
    </w:p>
    <w:p w:rsidR="00A31F2A" w:rsidRDefault="00A31F2A" w:rsidP="00A31F2A">
      <w:pPr>
        <w:numPr>
          <w:ilvl w:val="0"/>
          <w:numId w:val="4"/>
        </w:numPr>
        <w:spacing w:after="240" w:line="240" w:lineRule="auto"/>
        <w:rPr>
          <w:rFonts w:cs="Calibri"/>
          <w:color w:val="000000"/>
        </w:rPr>
      </w:pPr>
      <w:r>
        <w:rPr>
          <w:rFonts w:cs="Calibri"/>
          <w:color w:val="000000"/>
        </w:rPr>
        <w:t>7-11 years as of December 31</w:t>
      </w:r>
      <w:r w:rsidRPr="001A3600">
        <w:rPr>
          <w:rFonts w:cs="Calibri"/>
          <w:color w:val="000000"/>
          <w:vertAlign w:val="superscript"/>
        </w:rPr>
        <w:t>st</w:t>
      </w:r>
      <w:r>
        <w:rPr>
          <w:rFonts w:cs="Calibri"/>
          <w:color w:val="000000"/>
        </w:rPr>
        <w:t xml:space="preserve"> of the measurement year. </w:t>
      </w:r>
    </w:p>
    <w:p w:rsidR="00A31F2A" w:rsidRPr="001A3600" w:rsidRDefault="00A31F2A" w:rsidP="00A31F2A">
      <w:pPr>
        <w:numPr>
          <w:ilvl w:val="0"/>
          <w:numId w:val="4"/>
        </w:numPr>
        <w:spacing w:after="240" w:line="240" w:lineRule="auto"/>
      </w:pPr>
      <w:r w:rsidRPr="001A3600">
        <w:rPr>
          <w:rFonts w:cs="Calibri"/>
          <w:color w:val="000000"/>
        </w:rPr>
        <w:t>12-19 years as of December 31</w:t>
      </w:r>
      <w:r w:rsidRPr="001A3600">
        <w:rPr>
          <w:rFonts w:cs="Calibri"/>
          <w:color w:val="000000"/>
          <w:vertAlign w:val="superscript"/>
        </w:rPr>
        <w:t>st</w:t>
      </w:r>
      <w:r w:rsidRPr="001A3600">
        <w:rPr>
          <w:rFonts w:cs="Calibri"/>
          <w:color w:val="000000"/>
        </w:rPr>
        <w:t xml:space="preserve"> of the measurement year. </w:t>
      </w:r>
    </w:p>
    <w:p w:rsidR="00A31F2A" w:rsidRDefault="00A31F2A" w:rsidP="00A31F2A">
      <w:pPr>
        <w:spacing w:after="240" w:line="240" w:lineRule="auto"/>
      </w:pPr>
      <w:r w:rsidRPr="001A3600">
        <w:rPr>
          <w:rFonts w:cs="Calibri"/>
          <w:color w:val="000000"/>
        </w:rPr>
        <w:t>See HEDIS® 201</w:t>
      </w:r>
      <w:r w:rsidR="0055416C">
        <w:rPr>
          <w:rFonts w:cs="Calibri"/>
          <w:color w:val="000000"/>
        </w:rPr>
        <w:t>5</w:t>
      </w:r>
      <w:r w:rsidRPr="001A3600">
        <w:rPr>
          <w:rFonts w:cs="Calibri"/>
          <w:color w:val="000000"/>
        </w:rPr>
        <w:t xml:space="preserve"> Technical Specification for Health Plans (Volume 2) for </w:t>
      </w:r>
      <w:r>
        <w:rPr>
          <w:rFonts w:cs="Calibri"/>
          <w:color w:val="000000"/>
        </w:rPr>
        <w:t xml:space="preserve">additional </w:t>
      </w:r>
      <w:r w:rsidRPr="001A3600">
        <w:rPr>
          <w:rFonts w:cs="Calibri"/>
          <w:color w:val="000000"/>
        </w:rPr>
        <w:t>details.</w:t>
      </w:r>
    </w:p>
    <w:p w:rsidR="00A31F2A" w:rsidRDefault="00A31F2A" w:rsidP="00A31F2A">
      <w:pPr>
        <w:spacing w:after="0" w:line="240" w:lineRule="auto"/>
        <w:rPr>
          <w:b/>
        </w:rPr>
      </w:pPr>
      <w:r w:rsidRPr="00D9738E">
        <w:rPr>
          <w:b/>
        </w:rPr>
        <w:t xml:space="preserve">Required exclusions for denominator: </w:t>
      </w:r>
    </w:p>
    <w:p w:rsidR="007A62F9" w:rsidRDefault="007A62F9" w:rsidP="007A62F9">
      <w:pPr>
        <w:spacing w:after="240" w:line="240" w:lineRule="auto"/>
      </w:pPr>
      <w:r>
        <w:t>See continuous enrollment criteria.</w:t>
      </w:r>
    </w:p>
    <w:p w:rsidR="00A31F2A" w:rsidRDefault="00A31F2A" w:rsidP="00A31F2A">
      <w:pPr>
        <w:spacing w:after="0" w:line="240" w:lineRule="auto"/>
        <w:rPr>
          <w:b/>
        </w:rPr>
      </w:pPr>
      <w:r w:rsidRPr="006943FF">
        <w:rPr>
          <w:b/>
        </w:rPr>
        <w:t xml:space="preserve">Deviations from cited specifications for denominator: </w:t>
      </w:r>
    </w:p>
    <w:p w:rsidR="00A31F2A" w:rsidRPr="00B57B9E" w:rsidRDefault="00A31F2A" w:rsidP="00A31F2A">
      <w:pPr>
        <w:spacing w:after="240" w:line="240" w:lineRule="auto"/>
      </w:pPr>
      <w:r w:rsidRPr="00B57B9E">
        <w:t>None.</w:t>
      </w:r>
    </w:p>
    <w:p w:rsidR="00A31F2A" w:rsidRDefault="00A31F2A" w:rsidP="00A31F2A">
      <w:pPr>
        <w:spacing w:after="0" w:line="240" w:lineRule="auto"/>
      </w:pPr>
      <w:r w:rsidRPr="00F84E6D">
        <w:rPr>
          <w:b/>
        </w:rPr>
        <w:t>Data elements required numerator:</w:t>
      </w:r>
      <w:r>
        <w:t xml:space="preserve"> </w:t>
      </w:r>
    </w:p>
    <w:p w:rsidR="00A31F2A" w:rsidRDefault="00A31F2A" w:rsidP="00A31F2A">
      <w:pPr>
        <w:spacing w:after="240" w:line="240" w:lineRule="auto"/>
        <w:rPr>
          <w:rFonts w:cs="Calibri"/>
          <w:color w:val="000000"/>
        </w:rPr>
      </w:pPr>
      <w:r w:rsidRPr="00B57B9E">
        <w:rPr>
          <w:rFonts w:cs="Calibri"/>
          <w:color w:val="000000"/>
        </w:rPr>
        <w:t xml:space="preserve">Children ages 12 months – 19 years that had a visit (with a </w:t>
      </w:r>
      <w:r>
        <w:rPr>
          <w:rFonts w:cs="Calibri"/>
          <w:color w:val="000000"/>
        </w:rPr>
        <w:t>primary care provider</w:t>
      </w:r>
      <w:r w:rsidRPr="00B57B9E">
        <w:rPr>
          <w:rFonts w:cs="Calibri"/>
          <w:color w:val="000000"/>
        </w:rPr>
        <w:t xml:space="preserve">) containing appropriate service codes in respective time window. </w:t>
      </w:r>
    </w:p>
    <w:p w:rsidR="00A31F2A" w:rsidRDefault="00A31F2A" w:rsidP="00A31F2A">
      <w:pPr>
        <w:numPr>
          <w:ilvl w:val="0"/>
          <w:numId w:val="4"/>
        </w:numPr>
        <w:spacing w:after="240" w:line="240" w:lineRule="auto"/>
        <w:rPr>
          <w:rFonts w:cs="Calibri"/>
          <w:color w:val="000000"/>
        </w:rPr>
      </w:pPr>
      <w:r>
        <w:rPr>
          <w:rFonts w:cs="Calibri"/>
          <w:color w:val="000000"/>
        </w:rPr>
        <w:t xml:space="preserve">For children ages 12 – 24 months and 25 months – 6 years: one or more visits with a PCP </w:t>
      </w:r>
      <w:r w:rsidR="00931149">
        <w:rPr>
          <w:rFonts w:cs="Calibri"/>
          <w:color w:val="000000"/>
        </w:rPr>
        <w:t xml:space="preserve">(Ambulatory Visits Value Set) </w:t>
      </w:r>
      <w:r>
        <w:rPr>
          <w:rFonts w:cs="Calibri"/>
          <w:color w:val="000000"/>
        </w:rPr>
        <w:t xml:space="preserve">during the measurement year. </w:t>
      </w:r>
    </w:p>
    <w:p w:rsidR="00A31F2A" w:rsidRDefault="00A31F2A" w:rsidP="00A31F2A">
      <w:pPr>
        <w:numPr>
          <w:ilvl w:val="0"/>
          <w:numId w:val="4"/>
        </w:numPr>
        <w:spacing w:after="240" w:line="240" w:lineRule="auto"/>
        <w:rPr>
          <w:rFonts w:cs="Calibri"/>
          <w:color w:val="000000"/>
        </w:rPr>
      </w:pPr>
      <w:r>
        <w:rPr>
          <w:rFonts w:cs="Calibri"/>
          <w:color w:val="000000"/>
        </w:rPr>
        <w:lastRenderedPageBreak/>
        <w:t xml:space="preserve">For children ages 7-11 and 12-19 years: one or more visits with a PCP </w:t>
      </w:r>
      <w:r w:rsidR="00931149">
        <w:rPr>
          <w:rFonts w:cs="Calibri"/>
          <w:color w:val="000000"/>
        </w:rPr>
        <w:t xml:space="preserve">(Ambulatory Visits Value Set) </w:t>
      </w:r>
      <w:r>
        <w:rPr>
          <w:rFonts w:cs="Calibri"/>
          <w:color w:val="000000"/>
        </w:rPr>
        <w:t xml:space="preserve">during the measurement year or the year prior to the measurement year. </w:t>
      </w:r>
    </w:p>
    <w:p w:rsidR="00A31F2A" w:rsidRDefault="00A31F2A" w:rsidP="00A31F2A">
      <w:pPr>
        <w:spacing w:after="240" w:line="240" w:lineRule="auto"/>
      </w:pPr>
      <w:r w:rsidRPr="00B57B9E">
        <w:rPr>
          <w:rFonts w:cs="Calibri"/>
          <w:color w:val="000000"/>
        </w:rPr>
        <w:t>See HEDIS® 201</w:t>
      </w:r>
      <w:r w:rsidR="0055416C">
        <w:rPr>
          <w:rFonts w:cs="Calibri"/>
          <w:color w:val="000000"/>
        </w:rPr>
        <w:t>5</w:t>
      </w:r>
      <w:r w:rsidRPr="00B57B9E">
        <w:rPr>
          <w:rFonts w:cs="Calibri"/>
          <w:color w:val="000000"/>
        </w:rPr>
        <w:t xml:space="preserve"> Technical Specifications for Health Plans (Volume 2) for </w:t>
      </w:r>
      <w:r>
        <w:rPr>
          <w:rFonts w:cs="Calibri"/>
          <w:color w:val="000000"/>
        </w:rPr>
        <w:t>codes to identify ambulatory or preventive care visits</w:t>
      </w:r>
      <w:r w:rsidRPr="00B57B9E">
        <w:rPr>
          <w:rFonts w:cs="Calibri"/>
          <w:color w:val="000000"/>
        </w:rPr>
        <w:t>.</w:t>
      </w:r>
    </w:p>
    <w:p w:rsidR="00A31F2A" w:rsidRDefault="00A31F2A" w:rsidP="00A31F2A">
      <w:pPr>
        <w:spacing w:after="0" w:line="240" w:lineRule="auto"/>
        <w:rPr>
          <w:b/>
        </w:rPr>
      </w:pPr>
      <w:r w:rsidRPr="00F84E6D">
        <w:rPr>
          <w:b/>
        </w:rPr>
        <w:t xml:space="preserve">Required exclusions for numerator: </w:t>
      </w:r>
    </w:p>
    <w:p w:rsidR="00A31F2A" w:rsidRDefault="00A31F2A" w:rsidP="00A31F2A">
      <w:pPr>
        <w:spacing w:after="240" w:line="240" w:lineRule="auto"/>
      </w:pPr>
      <w:r>
        <w:rPr>
          <w:rFonts w:cs="Calibri"/>
          <w:color w:val="000000"/>
        </w:rPr>
        <w:t xml:space="preserve">See deviations below. </w:t>
      </w:r>
    </w:p>
    <w:p w:rsidR="00A31F2A" w:rsidRDefault="00A31F2A" w:rsidP="00A31F2A">
      <w:pPr>
        <w:spacing w:after="0" w:line="240" w:lineRule="auto"/>
        <w:rPr>
          <w:b/>
        </w:rPr>
      </w:pPr>
      <w:r w:rsidRPr="00F84E6D">
        <w:rPr>
          <w:b/>
        </w:rPr>
        <w:t>Deviations from cited specifications for numerator:</w:t>
      </w:r>
    </w:p>
    <w:p w:rsidR="00A31F2A" w:rsidRDefault="00A31F2A" w:rsidP="00A31F2A">
      <w:pPr>
        <w:spacing w:after="240" w:line="240" w:lineRule="auto"/>
      </w:pPr>
      <w:r>
        <w:t xml:space="preserve">OHA did not limit the services to certain types of providers. There was no differentiation between any ambulatory provider types. As long as children or adolescents had claims with the codes described in the HEDIS specifications during the appropriate time frame, they are counted as having at least one numerator visit during the measurement period. This is a deviation from HEDIS® specifications, which indicate specialist visits should be excluded.  </w:t>
      </w:r>
    </w:p>
    <w:p w:rsidR="00A31F2A" w:rsidRDefault="00A31F2A" w:rsidP="00A31F2A">
      <w:pPr>
        <w:spacing w:after="0" w:line="240" w:lineRule="auto"/>
        <w:rPr>
          <w:b/>
        </w:rPr>
      </w:pPr>
      <w:r w:rsidRPr="00F84E6D">
        <w:rPr>
          <w:b/>
        </w:rPr>
        <w:t>What are the continuous enrollment criteria:</w:t>
      </w:r>
    </w:p>
    <w:p w:rsidR="00A31F2A" w:rsidRDefault="00A31F2A" w:rsidP="00A31F2A">
      <w:pPr>
        <w:spacing w:after="240" w:line="240" w:lineRule="auto"/>
      </w:pPr>
      <w:r>
        <w:t>For children 1</w:t>
      </w:r>
      <w:r w:rsidR="0055416C">
        <w:t>2 months</w:t>
      </w:r>
      <w:r>
        <w:t xml:space="preserve"> – 6 years of age, the measurement year. </w:t>
      </w:r>
    </w:p>
    <w:p w:rsidR="00A31F2A" w:rsidRDefault="00A31F2A" w:rsidP="00A31F2A">
      <w:pPr>
        <w:spacing w:after="240" w:line="240" w:lineRule="auto"/>
      </w:pPr>
      <w:r>
        <w:t>For children ages 7 – 19 years of age, the measurement year and the year prior to the measurement year.</w:t>
      </w:r>
    </w:p>
    <w:p w:rsidR="00A31F2A" w:rsidRDefault="00A31F2A" w:rsidP="00A31F2A">
      <w:pPr>
        <w:spacing w:after="0" w:line="240" w:lineRule="auto"/>
        <w:rPr>
          <w:b/>
        </w:rPr>
      </w:pPr>
      <w:r w:rsidRPr="00F84E6D">
        <w:rPr>
          <w:b/>
        </w:rPr>
        <w:t>What are allowable gaps in enrollment:</w:t>
      </w:r>
    </w:p>
    <w:p w:rsidR="00A31F2A" w:rsidRDefault="0055416C" w:rsidP="00A31F2A">
      <w:pPr>
        <w:spacing w:after="240" w:line="240" w:lineRule="auto"/>
      </w:pPr>
      <w:r>
        <w:t>For children 12 months – 6 years of age, n</w:t>
      </w:r>
      <w:r w:rsidR="00A31F2A">
        <w:t>o more than one gap in enrollment of up to 45 days during the measurement year.</w:t>
      </w:r>
    </w:p>
    <w:p w:rsidR="0055416C" w:rsidRDefault="0055416C" w:rsidP="00A31F2A">
      <w:pPr>
        <w:spacing w:after="240" w:line="240" w:lineRule="auto"/>
      </w:pPr>
      <w:r>
        <w:t>For children ages 7 – 19 years of age,</w:t>
      </w:r>
      <w:r w:rsidRPr="0055416C">
        <w:t xml:space="preserve"> </w:t>
      </w:r>
      <w:r>
        <w:t>no more than one gap in enrollment of up to 45 days during each year of continuous enrollment.</w:t>
      </w:r>
    </w:p>
    <w:p w:rsidR="00A31F2A" w:rsidRDefault="00A31F2A" w:rsidP="00A31F2A">
      <w:pPr>
        <w:spacing w:after="0" w:line="240" w:lineRule="auto"/>
        <w:rPr>
          <w:b/>
        </w:rPr>
      </w:pPr>
      <w:r w:rsidRPr="00F84E6D">
        <w:rPr>
          <w:b/>
        </w:rPr>
        <w:t>Define Anchor Date (if applicable):</w:t>
      </w:r>
    </w:p>
    <w:p w:rsidR="00A31F2A" w:rsidRPr="001B5563" w:rsidRDefault="00A31F2A" w:rsidP="003342FF">
      <w:pPr>
        <w:spacing w:after="120" w:line="240" w:lineRule="auto"/>
      </w:pPr>
      <w:r>
        <w:t>December 31 of the measurement year.</w:t>
      </w:r>
      <w:r>
        <w:br/>
      </w:r>
    </w:p>
    <w:p w:rsidR="00C87ACF" w:rsidRPr="00A31F2A" w:rsidRDefault="00C87ACF" w:rsidP="005348EC">
      <w:pPr>
        <w:spacing w:after="120" w:line="240" w:lineRule="auto"/>
      </w:pPr>
    </w:p>
    <w:sectPr w:rsidR="00C87ACF" w:rsidRPr="00A31F2A" w:rsidSect="00C33F8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79B" w:rsidRDefault="002E679B" w:rsidP="00656B55">
      <w:pPr>
        <w:spacing w:after="0" w:line="240" w:lineRule="auto"/>
      </w:pPr>
      <w:r>
        <w:separator/>
      </w:r>
    </w:p>
  </w:endnote>
  <w:endnote w:type="continuationSeparator" w:id="0">
    <w:p w:rsidR="002E679B" w:rsidRDefault="002E679B" w:rsidP="00656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6557" w:rsidRDefault="005765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07C8" w:rsidRDefault="00A707C8">
    <w:pPr>
      <w:pStyle w:val="Footer"/>
    </w:pPr>
    <w:r>
      <w:t xml:space="preserve">CCO </w:t>
    </w:r>
    <w:r w:rsidR="00E939B6">
      <w:t xml:space="preserve">State Performance </w:t>
    </w:r>
    <w:r>
      <w:t>Measure Specification Sheet for 201</w:t>
    </w:r>
    <w:r w:rsidR="00AB47F4">
      <w:t>5</w:t>
    </w:r>
    <w:r>
      <w:t xml:space="preserve"> Measurement Year</w:t>
    </w:r>
    <w:r>
      <w:tab/>
      <w:t xml:space="preserve">Page </w:t>
    </w:r>
    <w:r>
      <w:rPr>
        <w:b/>
      </w:rPr>
      <w:fldChar w:fldCharType="begin"/>
    </w:r>
    <w:r>
      <w:rPr>
        <w:b/>
      </w:rPr>
      <w:instrText xml:space="preserve"> PAGE  \* Arabic  \* MERGEFORMAT </w:instrText>
    </w:r>
    <w:r>
      <w:rPr>
        <w:b/>
      </w:rPr>
      <w:fldChar w:fldCharType="separate"/>
    </w:r>
    <w:r w:rsidR="00576557">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576557">
      <w:rPr>
        <w:b/>
        <w:noProof/>
      </w:rPr>
      <w:t>3</w:t>
    </w:r>
    <w:r>
      <w:rPr>
        <w:b/>
      </w:rPr>
      <w:fldChar w:fldCharType="end"/>
    </w:r>
  </w:p>
  <w:p w:rsidR="00A707C8" w:rsidRDefault="00576557">
    <w:pPr>
      <w:pStyle w:val="Footer"/>
    </w:pPr>
    <w:r>
      <w:t>March 27, 2015</w:t>
    </w:r>
    <w:bookmarkStart w:id="4" w:name="_GoBack"/>
    <w:bookmarkEnd w:id="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6557" w:rsidRDefault="005765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79B" w:rsidRDefault="002E679B" w:rsidP="00656B55">
      <w:pPr>
        <w:spacing w:after="0" w:line="240" w:lineRule="auto"/>
      </w:pPr>
      <w:r>
        <w:separator/>
      </w:r>
    </w:p>
  </w:footnote>
  <w:footnote w:type="continuationSeparator" w:id="0">
    <w:p w:rsidR="002E679B" w:rsidRDefault="002E679B" w:rsidP="00656B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6557" w:rsidRDefault="005765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07C8" w:rsidRDefault="00A707C8">
    <w:pPr>
      <w:pStyle w:val="Header"/>
    </w:pPr>
    <w:r>
      <w:rPr>
        <w:noProof/>
      </w:rPr>
      <w:drawing>
        <wp:inline distT="0" distB="0" distL="0" distR="0" wp14:anchorId="286D6539" wp14:editId="07D103A4">
          <wp:extent cx="1143000" cy="4191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19100"/>
                  </a:xfrm>
                  <a:prstGeom prst="rect">
                    <a:avLst/>
                  </a:prstGeom>
                  <a:noFill/>
                  <a:ln>
                    <a:noFill/>
                  </a:ln>
                </pic:spPr>
              </pic:pic>
            </a:graphicData>
          </a:graphic>
        </wp:inline>
      </w:drawing>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6557" w:rsidRDefault="005765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941C0"/>
    <w:multiLevelType w:val="hybridMultilevel"/>
    <w:tmpl w:val="639E0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546F52"/>
    <w:multiLevelType w:val="hybridMultilevel"/>
    <w:tmpl w:val="BD38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144968"/>
    <w:multiLevelType w:val="hybridMultilevel"/>
    <w:tmpl w:val="CDF24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6981BB9"/>
    <w:multiLevelType w:val="hybridMultilevel"/>
    <w:tmpl w:val="940E7B96"/>
    <w:lvl w:ilvl="0" w:tplc="17DCD0FA">
      <w:numFmt w:val="bullet"/>
      <w:lvlText w:val=""/>
      <w:lvlJc w:val="left"/>
      <w:pPr>
        <w:ind w:left="360" w:hanging="360"/>
      </w:pPr>
      <w:rPr>
        <w:rFonts w:ascii="Symbol" w:eastAsia="Calibr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86526D0"/>
    <w:multiLevelType w:val="hybridMultilevel"/>
    <w:tmpl w:val="AAAE510A"/>
    <w:lvl w:ilvl="0" w:tplc="D8F0ED6E">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4F4477"/>
    <w:multiLevelType w:val="hybridMultilevel"/>
    <w:tmpl w:val="D9E823B4"/>
    <w:lvl w:ilvl="0" w:tplc="0BE6B8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formatting="1"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B55"/>
    <w:rsid w:val="00054AD5"/>
    <w:rsid w:val="00056ACD"/>
    <w:rsid w:val="00063274"/>
    <w:rsid w:val="0008528B"/>
    <w:rsid w:val="00085A2B"/>
    <w:rsid w:val="00087500"/>
    <w:rsid w:val="000A6ED3"/>
    <w:rsid w:val="000B7C19"/>
    <w:rsid w:val="000F4F62"/>
    <w:rsid w:val="00106C46"/>
    <w:rsid w:val="001122EC"/>
    <w:rsid w:val="00112912"/>
    <w:rsid w:val="001207E6"/>
    <w:rsid w:val="001275AF"/>
    <w:rsid w:val="0016768C"/>
    <w:rsid w:val="00183CDE"/>
    <w:rsid w:val="00191F4C"/>
    <w:rsid w:val="00192BB0"/>
    <w:rsid w:val="001937E9"/>
    <w:rsid w:val="001A1A5B"/>
    <w:rsid w:val="001C734C"/>
    <w:rsid w:val="001D0341"/>
    <w:rsid w:val="001D54BE"/>
    <w:rsid w:val="001F01C9"/>
    <w:rsid w:val="001F2E13"/>
    <w:rsid w:val="00200982"/>
    <w:rsid w:val="00204F56"/>
    <w:rsid w:val="0022495F"/>
    <w:rsid w:val="00271166"/>
    <w:rsid w:val="002E679B"/>
    <w:rsid w:val="002F4B3D"/>
    <w:rsid w:val="003105ED"/>
    <w:rsid w:val="00311E17"/>
    <w:rsid w:val="0031511F"/>
    <w:rsid w:val="00316E8D"/>
    <w:rsid w:val="003313F2"/>
    <w:rsid w:val="00332B08"/>
    <w:rsid w:val="003342FF"/>
    <w:rsid w:val="00337E80"/>
    <w:rsid w:val="00373049"/>
    <w:rsid w:val="00384536"/>
    <w:rsid w:val="003A5953"/>
    <w:rsid w:val="003B727F"/>
    <w:rsid w:val="003F1089"/>
    <w:rsid w:val="004035B6"/>
    <w:rsid w:val="0041222B"/>
    <w:rsid w:val="00432818"/>
    <w:rsid w:val="00434F18"/>
    <w:rsid w:val="00442EEB"/>
    <w:rsid w:val="004565D6"/>
    <w:rsid w:val="00471F87"/>
    <w:rsid w:val="00473850"/>
    <w:rsid w:val="004A2C88"/>
    <w:rsid w:val="004B3154"/>
    <w:rsid w:val="004B6C30"/>
    <w:rsid w:val="004D5220"/>
    <w:rsid w:val="004E3D76"/>
    <w:rsid w:val="005033B7"/>
    <w:rsid w:val="005348EC"/>
    <w:rsid w:val="005400B7"/>
    <w:rsid w:val="00544FE4"/>
    <w:rsid w:val="00545608"/>
    <w:rsid w:val="0055416C"/>
    <w:rsid w:val="00560C75"/>
    <w:rsid w:val="00564AF0"/>
    <w:rsid w:val="0056617D"/>
    <w:rsid w:val="00576557"/>
    <w:rsid w:val="00591805"/>
    <w:rsid w:val="005964F5"/>
    <w:rsid w:val="005C0675"/>
    <w:rsid w:val="005C7D09"/>
    <w:rsid w:val="005D05A9"/>
    <w:rsid w:val="005D1B9D"/>
    <w:rsid w:val="005D33C7"/>
    <w:rsid w:val="005D33FF"/>
    <w:rsid w:val="005E1170"/>
    <w:rsid w:val="00602C0B"/>
    <w:rsid w:val="00626F42"/>
    <w:rsid w:val="00656B55"/>
    <w:rsid w:val="00663633"/>
    <w:rsid w:val="00672C86"/>
    <w:rsid w:val="00680EF5"/>
    <w:rsid w:val="00686E99"/>
    <w:rsid w:val="006943FF"/>
    <w:rsid w:val="006A155D"/>
    <w:rsid w:val="006D0677"/>
    <w:rsid w:val="0070060C"/>
    <w:rsid w:val="0071670B"/>
    <w:rsid w:val="00732B05"/>
    <w:rsid w:val="00746505"/>
    <w:rsid w:val="00767351"/>
    <w:rsid w:val="007A62F9"/>
    <w:rsid w:val="00821CC3"/>
    <w:rsid w:val="00832A7E"/>
    <w:rsid w:val="00871390"/>
    <w:rsid w:val="008B59D9"/>
    <w:rsid w:val="008C5A7D"/>
    <w:rsid w:val="008D042E"/>
    <w:rsid w:val="008D5456"/>
    <w:rsid w:val="008D66AE"/>
    <w:rsid w:val="008F2C2D"/>
    <w:rsid w:val="008F41BF"/>
    <w:rsid w:val="00905244"/>
    <w:rsid w:val="00925D1B"/>
    <w:rsid w:val="00931149"/>
    <w:rsid w:val="00941F31"/>
    <w:rsid w:val="00956CB6"/>
    <w:rsid w:val="00981871"/>
    <w:rsid w:val="00990222"/>
    <w:rsid w:val="00994438"/>
    <w:rsid w:val="009A1A25"/>
    <w:rsid w:val="009B3D2B"/>
    <w:rsid w:val="009B6451"/>
    <w:rsid w:val="009B6D93"/>
    <w:rsid w:val="009D04AA"/>
    <w:rsid w:val="009D1115"/>
    <w:rsid w:val="009E4BBF"/>
    <w:rsid w:val="009E6065"/>
    <w:rsid w:val="00A13B1C"/>
    <w:rsid w:val="00A31F0D"/>
    <w:rsid w:val="00A31F2A"/>
    <w:rsid w:val="00A707C8"/>
    <w:rsid w:val="00A719E1"/>
    <w:rsid w:val="00A80B72"/>
    <w:rsid w:val="00A82EEC"/>
    <w:rsid w:val="00A93FBF"/>
    <w:rsid w:val="00AA2C71"/>
    <w:rsid w:val="00AB47B2"/>
    <w:rsid w:val="00AB47F4"/>
    <w:rsid w:val="00AC0146"/>
    <w:rsid w:val="00AC2451"/>
    <w:rsid w:val="00AE50F4"/>
    <w:rsid w:val="00AE5EE1"/>
    <w:rsid w:val="00B05162"/>
    <w:rsid w:val="00B15D84"/>
    <w:rsid w:val="00B5484E"/>
    <w:rsid w:val="00B836B7"/>
    <w:rsid w:val="00B87038"/>
    <w:rsid w:val="00BA15BE"/>
    <w:rsid w:val="00BA3AF2"/>
    <w:rsid w:val="00BE71E5"/>
    <w:rsid w:val="00C03F89"/>
    <w:rsid w:val="00C213AF"/>
    <w:rsid w:val="00C267B6"/>
    <w:rsid w:val="00C33A4C"/>
    <w:rsid w:val="00C33F88"/>
    <w:rsid w:val="00C620F8"/>
    <w:rsid w:val="00C635B9"/>
    <w:rsid w:val="00C87ACF"/>
    <w:rsid w:val="00CA65A7"/>
    <w:rsid w:val="00CB3882"/>
    <w:rsid w:val="00CB3B35"/>
    <w:rsid w:val="00CB4F09"/>
    <w:rsid w:val="00CD4736"/>
    <w:rsid w:val="00CF4263"/>
    <w:rsid w:val="00CF6AB7"/>
    <w:rsid w:val="00D06981"/>
    <w:rsid w:val="00D2468D"/>
    <w:rsid w:val="00D40DCB"/>
    <w:rsid w:val="00D6230F"/>
    <w:rsid w:val="00D9359D"/>
    <w:rsid w:val="00D95AA6"/>
    <w:rsid w:val="00D96E2C"/>
    <w:rsid w:val="00D9738E"/>
    <w:rsid w:val="00DA1AE4"/>
    <w:rsid w:val="00DB1B02"/>
    <w:rsid w:val="00DB2AD8"/>
    <w:rsid w:val="00DE694E"/>
    <w:rsid w:val="00E04333"/>
    <w:rsid w:val="00E30DDA"/>
    <w:rsid w:val="00E4757F"/>
    <w:rsid w:val="00E60082"/>
    <w:rsid w:val="00E61058"/>
    <w:rsid w:val="00E75278"/>
    <w:rsid w:val="00E939B6"/>
    <w:rsid w:val="00E9580D"/>
    <w:rsid w:val="00EA13B0"/>
    <w:rsid w:val="00EB04FD"/>
    <w:rsid w:val="00EF3015"/>
    <w:rsid w:val="00F306F1"/>
    <w:rsid w:val="00F52B9F"/>
    <w:rsid w:val="00F6327B"/>
    <w:rsid w:val="00F84E6D"/>
    <w:rsid w:val="00F97666"/>
    <w:rsid w:val="00FB5F01"/>
    <w:rsid w:val="00FC21C0"/>
    <w:rsid w:val="00FD53F0"/>
    <w:rsid w:val="00FE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5:docId w15:val="{76015EE2-940F-4233-8413-BD6386E5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F88"/>
    <w:pPr>
      <w:spacing w:after="200" w:line="276" w:lineRule="auto"/>
    </w:pPr>
  </w:style>
  <w:style w:type="paragraph" w:styleId="Heading1">
    <w:name w:val="heading 1"/>
    <w:basedOn w:val="Normal"/>
    <w:next w:val="Normal"/>
    <w:link w:val="Heading1Char"/>
    <w:qFormat/>
    <w:locked/>
    <w:rsid w:val="00DB2AD8"/>
    <w:pPr>
      <w:keepNext/>
      <w:spacing w:before="240" w:after="60"/>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56B5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656B55"/>
    <w:rPr>
      <w:rFonts w:cs="Times New Roman"/>
    </w:rPr>
  </w:style>
  <w:style w:type="paragraph" w:styleId="Footer">
    <w:name w:val="footer"/>
    <w:basedOn w:val="Normal"/>
    <w:link w:val="FooterChar"/>
    <w:uiPriority w:val="99"/>
    <w:rsid w:val="00656B55"/>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656B55"/>
    <w:rPr>
      <w:rFonts w:cs="Times New Roman"/>
    </w:rPr>
  </w:style>
  <w:style w:type="paragraph" w:styleId="BalloonText">
    <w:name w:val="Balloon Text"/>
    <w:basedOn w:val="Normal"/>
    <w:link w:val="BalloonTextChar"/>
    <w:uiPriority w:val="99"/>
    <w:semiHidden/>
    <w:rsid w:val="00656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56B55"/>
    <w:rPr>
      <w:rFonts w:ascii="Tahoma" w:hAnsi="Tahoma" w:cs="Tahoma"/>
      <w:sz w:val="16"/>
      <w:szCs w:val="16"/>
    </w:rPr>
  </w:style>
  <w:style w:type="table" w:styleId="TableGrid">
    <w:name w:val="Table Grid"/>
    <w:basedOn w:val="TableNormal"/>
    <w:uiPriority w:val="99"/>
    <w:rsid w:val="00E0433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DB2AD8"/>
    <w:rPr>
      <w:rFonts w:asciiTheme="majorHAnsi" w:eastAsiaTheme="majorEastAsia" w:hAnsiTheme="majorHAnsi" w:cstheme="majorBidi"/>
      <w:b/>
      <w:bCs/>
      <w:kern w:val="32"/>
      <w:sz w:val="32"/>
      <w:szCs w:val="32"/>
    </w:rPr>
  </w:style>
  <w:style w:type="character" w:styleId="Hyperlink">
    <w:name w:val="Hyperlink"/>
    <w:basedOn w:val="DefaultParagraphFont"/>
    <w:uiPriority w:val="99"/>
    <w:unhideWhenUsed/>
    <w:rsid w:val="00D95AA6"/>
    <w:rPr>
      <w:color w:val="0000FF" w:themeColor="hyperlink"/>
      <w:u w:val="single"/>
    </w:rPr>
  </w:style>
  <w:style w:type="character" w:styleId="FollowedHyperlink">
    <w:name w:val="FollowedHyperlink"/>
    <w:basedOn w:val="DefaultParagraphFont"/>
    <w:uiPriority w:val="99"/>
    <w:semiHidden/>
    <w:unhideWhenUsed/>
    <w:rsid w:val="00D95AA6"/>
    <w:rPr>
      <w:color w:val="800080" w:themeColor="followedHyperlink"/>
      <w:u w:val="single"/>
    </w:rPr>
  </w:style>
  <w:style w:type="paragraph" w:styleId="ListParagraph">
    <w:name w:val="List Paragraph"/>
    <w:basedOn w:val="Normal"/>
    <w:uiPriority w:val="34"/>
    <w:qFormat/>
    <w:rsid w:val="00D9738E"/>
    <w:pPr>
      <w:ind w:left="720"/>
      <w:contextualSpacing/>
    </w:pPr>
  </w:style>
  <w:style w:type="character" w:styleId="CommentReference">
    <w:name w:val="annotation reference"/>
    <w:basedOn w:val="DefaultParagraphFont"/>
    <w:uiPriority w:val="99"/>
    <w:semiHidden/>
    <w:unhideWhenUsed/>
    <w:rsid w:val="00D9738E"/>
    <w:rPr>
      <w:sz w:val="16"/>
      <w:szCs w:val="16"/>
    </w:rPr>
  </w:style>
  <w:style w:type="paragraph" w:styleId="CommentText">
    <w:name w:val="annotation text"/>
    <w:basedOn w:val="Normal"/>
    <w:link w:val="CommentTextChar"/>
    <w:uiPriority w:val="99"/>
    <w:semiHidden/>
    <w:unhideWhenUsed/>
    <w:rsid w:val="00D9738E"/>
    <w:pPr>
      <w:spacing w:line="240" w:lineRule="auto"/>
    </w:pPr>
    <w:rPr>
      <w:sz w:val="20"/>
      <w:szCs w:val="20"/>
    </w:rPr>
  </w:style>
  <w:style w:type="character" w:customStyle="1" w:styleId="CommentTextChar">
    <w:name w:val="Comment Text Char"/>
    <w:basedOn w:val="DefaultParagraphFont"/>
    <w:link w:val="CommentText"/>
    <w:uiPriority w:val="99"/>
    <w:semiHidden/>
    <w:rsid w:val="00D9738E"/>
    <w:rPr>
      <w:sz w:val="20"/>
      <w:szCs w:val="20"/>
    </w:rPr>
  </w:style>
  <w:style w:type="paragraph" w:styleId="CommentSubject">
    <w:name w:val="annotation subject"/>
    <w:basedOn w:val="CommentText"/>
    <w:next w:val="CommentText"/>
    <w:link w:val="CommentSubjectChar"/>
    <w:uiPriority w:val="99"/>
    <w:semiHidden/>
    <w:unhideWhenUsed/>
    <w:rsid w:val="00D9738E"/>
    <w:rPr>
      <w:b/>
      <w:bCs/>
    </w:rPr>
  </w:style>
  <w:style w:type="character" w:customStyle="1" w:styleId="CommentSubjectChar">
    <w:name w:val="Comment Subject Char"/>
    <w:basedOn w:val="CommentTextChar"/>
    <w:link w:val="CommentSubject"/>
    <w:uiPriority w:val="99"/>
    <w:semiHidden/>
    <w:rsid w:val="00D9738E"/>
    <w:rPr>
      <w:b/>
      <w:bCs/>
      <w:sz w:val="20"/>
      <w:szCs w:val="20"/>
    </w:rPr>
  </w:style>
  <w:style w:type="paragraph" w:customStyle="1" w:styleId="Default">
    <w:name w:val="Default"/>
    <w:rsid w:val="0041222B"/>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500522">
      <w:bodyDiv w:val="1"/>
      <w:marLeft w:val="0"/>
      <w:marRight w:val="0"/>
      <w:marTop w:val="0"/>
      <w:marBottom w:val="0"/>
      <w:divBdr>
        <w:top w:val="none" w:sz="0" w:space="0" w:color="auto"/>
        <w:left w:val="none" w:sz="0" w:space="0" w:color="auto"/>
        <w:bottom w:val="none" w:sz="0" w:space="0" w:color="auto"/>
        <w:right w:val="none" w:sz="0" w:space="0" w:color="auto"/>
      </w:divBdr>
    </w:div>
    <w:div w:id="597298978">
      <w:bodyDiv w:val="1"/>
      <w:marLeft w:val="0"/>
      <w:marRight w:val="0"/>
      <w:marTop w:val="0"/>
      <w:marBottom w:val="0"/>
      <w:divBdr>
        <w:top w:val="none" w:sz="0" w:space="0" w:color="auto"/>
        <w:left w:val="none" w:sz="0" w:space="0" w:color="auto"/>
        <w:bottom w:val="none" w:sz="0" w:space="0" w:color="auto"/>
        <w:right w:val="none" w:sz="0" w:space="0" w:color="auto"/>
      </w:divBdr>
    </w:div>
    <w:div w:id="1293246131">
      <w:marLeft w:val="0"/>
      <w:marRight w:val="0"/>
      <w:marTop w:val="0"/>
      <w:marBottom w:val="0"/>
      <w:divBdr>
        <w:top w:val="none" w:sz="0" w:space="0" w:color="auto"/>
        <w:left w:val="none" w:sz="0" w:space="0" w:color="auto"/>
        <w:bottom w:val="none" w:sz="0" w:space="0" w:color="auto"/>
        <w:right w:val="none" w:sz="0" w:space="0" w:color="auto"/>
      </w:divBdr>
    </w:div>
    <w:div w:id="1293246132">
      <w:marLeft w:val="0"/>
      <w:marRight w:val="0"/>
      <w:marTop w:val="0"/>
      <w:marBottom w:val="0"/>
      <w:divBdr>
        <w:top w:val="none" w:sz="0" w:space="0" w:color="auto"/>
        <w:left w:val="none" w:sz="0" w:space="0" w:color="auto"/>
        <w:bottom w:val="none" w:sz="0" w:space="0" w:color="auto"/>
        <w:right w:val="none" w:sz="0" w:space="0" w:color="auto"/>
      </w:divBdr>
    </w:div>
    <w:div w:id="1293246133">
      <w:marLeft w:val="0"/>
      <w:marRight w:val="0"/>
      <w:marTop w:val="0"/>
      <w:marBottom w:val="0"/>
      <w:divBdr>
        <w:top w:val="none" w:sz="0" w:space="0" w:color="auto"/>
        <w:left w:val="none" w:sz="0" w:space="0" w:color="auto"/>
        <w:bottom w:val="none" w:sz="0" w:space="0" w:color="auto"/>
        <w:right w:val="none" w:sz="0" w:space="0" w:color="auto"/>
      </w:divBdr>
    </w:div>
    <w:div w:id="213609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E1745FCF401647BAAD65B22C37D783" ma:contentTypeVersion="0" ma:contentTypeDescription="Create a new document." ma:contentTypeScope="" ma:versionID="0b757353875cdeaa1127d9f87b5e1090">
  <xsd:schema xmlns:xsd="http://www.w3.org/2001/XMLSchema" xmlns:xs="http://www.w3.org/2001/XMLSchema" xmlns:p="http://schemas.microsoft.com/office/2006/metadata/properties" xmlns:ns1="http://schemas.microsoft.com/sharepoint/v3" xmlns:ns2="http://schemas.microsoft.com/sharepoint/v4" xmlns:ns4="ab5565bb-fe3d-41ed-9f1a-6790262642ab" targetNamespace="http://schemas.microsoft.com/office/2006/metadata/properties" ma:root="true" ma:fieldsID="248ccbd1b51b450d426a6928cde13c88" ns1:_="" ns2:_="" ns4:_="">
    <xsd:import namespace="http://schemas.microsoft.com/sharepoint/v3"/>
    <xsd:import namespace="http://schemas.microsoft.com/sharepoint/v4"/>
    <xsd:import namespace="ab5565bb-fe3d-41ed-9f1a-6790262642ab"/>
    <xsd:element name="properties">
      <xsd:complexType>
        <xsd:sequence>
          <xsd:element name="documentManagement">
            <xsd:complexType>
              <xsd:all>
                <xsd:element ref="ns2:Metadata" minOccurs="0"/>
                <xsd:element ref="ns1:RoutingRuleDescription" minOccurs="0"/>
                <xsd:element ref="ns4:Doc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9"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Metadata" ma:index="8" nillable="true" ma:displayName="Metadata" ma:internalName="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5565bb-fe3d-41ed-9f1a-6790262642ab" elementFormDefault="qualified">
    <xsd:import namespace="http://schemas.microsoft.com/office/2006/documentManagement/types"/>
    <xsd:import namespace="http://schemas.microsoft.com/office/infopath/2007/PartnerControls"/>
    <xsd:element name="DocCategory" ma:index="11" nillable="true" ma:displayName="Document Category" ma:default="CCO Plan Baseline" ma:internalName="DocCategory">
      <xsd:complexType>
        <xsd:complexContent>
          <xsd:extension base="dms:MultiChoice">
            <xsd:sequence>
              <xsd:element name="Value" maxOccurs="unbounded" minOccurs="0" nillable="true">
                <xsd:simpleType>
                  <xsd:restriction base="dms:Choice">
                    <xsd:enumeration value="CCO Plan Baseline"/>
                    <xsd:enumeration value="Guidance Documents"/>
                    <xsd:enumeration value="Support document"/>
                    <xsd:enumeration value="Specification sheet"/>
                    <xsd:enumeration value="State specification sheet"/>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Metadata xmlns="http://schemas.microsoft.com/sharepoint/v4" xsi:nil="true"/>
    <RoutingRuleDescription xmlns="http://schemas.microsoft.com/sharepoint/v3" xsi:nil="true"/>
    <DocCategory xmlns="ab5565bb-fe3d-41ed-9f1a-6790262642ab">
      <Value>State specification sheet</Value>
    </DocCategory>
  </documentManagement>
</p:properties>
</file>

<file path=customXml/itemProps1.xml><?xml version="1.0" encoding="utf-8"?>
<ds:datastoreItem xmlns:ds="http://schemas.openxmlformats.org/officeDocument/2006/customXml" ds:itemID="{45C3D445-86CD-4B85-834E-9AF5B7127B27}"/>
</file>

<file path=customXml/itemProps2.xml><?xml version="1.0" encoding="utf-8"?>
<ds:datastoreItem xmlns:ds="http://schemas.openxmlformats.org/officeDocument/2006/customXml" ds:itemID="{090F0C5C-80D7-4E0F-AEE8-8573713BACD5}"/>
</file>

<file path=customXml/itemProps3.xml><?xml version="1.0" encoding="utf-8"?>
<ds:datastoreItem xmlns:ds="http://schemas.openxmlformats.org/officeDocument/2006/customXml" ds:itemID="{F1B99952-9304-43D6-9D88-172E0AF1C6EE}"/>
</file>

<file path=customXml/itemProps4.xml><?xml version="1.0" encoding="utf-8"?>
<ds:datastoreItem xmlns:ds="http://schemas.openxmlformats.org/officeDocument/2006/customXml" ds:itemID="{0AEF0B0B-06DC-45E2-B5FA-FCA08A046A7B}"/>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OHA Internal Measure Steward Information</vt:lpstr>
    </vt:vector>
  </TitlesOfParts>
  <Company>Oregon DHS</Company>
  <LinksUpToDate>false</LinksUpToDate>
  <CharactersWithSpaces>4758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Collins Jon C</dc:creator>
  <cp:keywords/>
  <cp:lastModifiedBy>Malone Milena</cp:lastModifiedBy>
  <cp:revision>3</cp:revision>
  <cp:lastPrinted>2013-09-29T18:50:00Z</cp:lastPrinted>
  <dcterms:created xsi:type="dcterms:W3CDTF">2015-03-17T21:15:00Z</dcterms:created>
  <dcterms:modified xsi:type="dcterms:W3CDTF">2015-03-27T16:58:00Z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0x010100A7E1745FCF401647BAAD65B22C37D783</vt:lpwstr>
  </property>
</Properties>
</file>