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A100 光电 MoE 与 Qwen3VL 基线：时间、功率与能效测量说明</w:t>
      </w:r>
    </w:p>
    <w:p>
      <w:pPr>
        <w:jc w:val="center"/>
      </w:pPr>
      <w:r>
        <w:rPr>
          <w:i/>
        </w:rPr>
        <w:t>固定版本 · 200 次正式测量 · 无专门预热 · 第 1 次计入</w:t>
      </w:r>
    </w:p>
    <w:p>
      <w:pPr>
        <w:pStyle w:val="Heading1"/>
      </w:pPr>
      <w:r>
        <w:t>摘要</w:t>
      </w:r>
    </w:p>
    <w:p>
      <w:r>
        <w:t>本文件定义并复核七项已完成任务的推理边界、计时方法、功率输入与能量公式。04（ABO 文搜图）与 08（ABO clean 文生图）仅预留，不填入任何推测结果。性能取绑定检查点的完整测试集结果；基线速度取测试集顺序前 200 项；Ours 对固定形状、GPU 驻留的任务电子核连续执行 200 次。两者均仅加载模型一次，不执行显式预热，且保留第 1 次测量。</w:t>
      </w:r>
    </w:p>
    <w:p>
      <w:pPr>
        <w:pStyle w:val="Heading1"/>
      </w:pPr>
      <w:r>
        <w:t>测量边界与时钟</w:t>
      </w:r>
    </w:p>
    <w:p>
      <w:r>
        <w:t>Qwen3VL 基线使用 Synchronized Wall：在第一个原生 Vision Transformer block 的 pre-hook 处开始，经过所需 Vision/Language blocks 与任务读出头，在最终输出就绪并完成 CUDA synchronize 后停止。模型加载、文件解码、processor/tokenizer 与 CPU→GPU 搬运不在该区间内。</w:t>
      </w:r>
    </w:p>
    <w:p>
      <w:r>
        <w:t>Ours 的电子时间使用 CUDA Event，并仅串行计入 CCD 后非线性与学习式读出、光路由算术、必要 bridge/merger 与任务头；与光传播并行的残差支路不进入关键路径。每个电子核执行 200 次，报告全部 200 次（含第 1 次）的均值。CCD 裁剪/堆叠、排版、SLM 编码、文件 I/O、搬运以及通用整场张量融合不进入该窄口径。</w:t>
      </w:r>
    </w:p>
    <w:p>
      <w:r>
        <w:t>单次物理传播固定为 1.0447 ms = 0.714 ms（高速 SLM）+ 0.300 ms（曝光）+ 0.0307 ms（812×812 ROI 相机读出）。含语言的任务与双层视频质量网络为 6 次传播；LSP 与 SALICON 为仅视觉的 3 次传播。</w:t>
      </w:r>
    </w:p>
    <w:p>
      <w:pPr>
        <w:pStyle w:val="Heading1"/>
      </w:pPr>
      <w:r>
        <w:t>功率与能量计算</w:t>
      </w:r>
    </w:p>
    <w:p>
      <w:r>
        <w:t>光学设备功率为 80.358 W：激光器 9.679 W、相位 SLM 5.595 W、CCD 14.303 W、高速 SLM 34.225 W + 16.556 W。控制机箱固定 41.388 W；Ours 的 A100 固定 62.842 W。基线机箱固定 338.2 W，A100 板卡功率按各任务连续推理阶段的 nvidia-smi active mean 读取，不做空载扣除。</w:t>
      </w:r>
    </w:p>
    <w:p>
      <w:pPr>
        <w:ind w:left="340"/>
      </w:pPr>
      <w:r>
        <w:rPr>
          <w:b/>
        </w:rPr>
        <w:t>Ours：E = t光 × (80.358 + 41.388) + t电 × (41.388 + 62.842)</w:t>
      </w:r>
    </w:p>
    <w:p>
      <w:pPr>
        <w:ind w:left="340"/>
      </w:pPr>
      <w:r>
        <w:rPr>
          <w:b/>
        </w:rPr>
        <w:t>Baseline：E = tWall × (338.2 + P_A100,active)</w:t>
      </w:r>
    </w:p>
    <w:p>
      <w:pPr>
        <w:ind w:left="340"/>
      </w:pPr>
      <w:r>
        <w:rPr>
          <w:b/>
        </w:rPr>
        <w:t>速度提升 = tBaseline / tOurs；能效提升 = EBaseline / EOurs；能量降低 = 1 − EOurs / EBaseline。</w:t>
      </w:r>
    </w:p>
    <w:p>
      <w:pPr>
        <w:pStyle w:val="Heading1"/>
      </w:pPr>
      <w:r>
        <w:t>主要结果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vAlign w:val="center"/>
            <w:shd w:fill="0B5A8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1275"/>
            <w:vAlign w:val="center"/>
            <w:shd w:fill="0B5A8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任务</w:t>
            </w:r>
          </w:p>
        </w:tc>
        <w:tc>
          <w:tcPr>
            <w:tcW w:type="dxa" w:w="1275"/>
            <w:vAlign w:val="center"/>
            <w:shd w:fill="0B5A8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Ours ms</w:t>
            </w:r>
          </w:p>
        </w:tc>
        <w:tc>
          <w:tcPr>
            <w:tcW w:type="dxa" w:w="1275"/>
            <w:vAlign w:val="center"/>
            <w:shd w:fill="0B5A8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Baseline ms</w:t>
            </w:r>
          </w:p>
        </w:tc>
        <w:tc>
          <w:tcPr>
            <w:tcW w:type="dxa" w:w="1275"/>
            <w:vAlign w:val="center"/>
            <w:shd w:fill="0B5A8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Ours J</w:t>
            </w:r>
          </w:p>
        </w:tc>
        <w:tc>
          <w:tcPr>
            <w:tcW w:type="dxa" w:w="1275"/>
            <w:vAlign w:val="center"/>
            <w:shd w:fill="0B5A8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Baseline J</w:t>
            </w:r>
          </w:p>
        </w:tc>
        <w:tc>
          <w:tcPr>
            <w:tcW w:type="dxa" w:w="1275"/>
            <w:vAlign w:val="center"/>
            <w:shd w:fill="0B5A8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速度×</w:t>
            </w:r>
          </w:p>
        </w:tc>
        <w:tc>
          <w:tcPr>
            <w:tcW w:type="dxa" w:w="1275"/>
            <w:vAlign w:val="center"/>
            <w:shd w:fill="0B5A8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能效×</w:t>
            </w:r>
          </w:p>
        </w:tc>
      </w:tr>
      <w:tr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01a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LGVQ temporal quality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10.524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1188.386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1.207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462.113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112.92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382.96</w:t>
            </w:r>
          </w:p>
        </w:tc>
      </w:tr>
      <w:tr>
        <w:tc>
          <w:tcPr>
            <w:tcW w:type="dxa" w:w="1275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01b</w:t>
            </w:r>
          </w:p>
        </w:tc>
        <w:tc>
          <w:tcPr>
            <w:tcW w:type="dxa" w:w="1275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LGVQ spatial quality</w:t>
            </w:r>
          </w:p>
        </w:tc>
        <w:tc>
          <w:tcPr>
            <w:tcW w:type="dxa" w:w="1275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10.132</w:t>
            </w:r>
          </w:p>
        </w:tc>
        <w:tc>
          <w:tcPr>
            <w:tcW w:type="dxa" w:w="1275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73.784</w:t>
            </w:r>
          </w:p>
        </w:tc>
        <w:tc>
          <w:tcPr>
            <w:tcW w:type="dxa" w:w="1275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1.166</w:t>
            </w:r>
          </w:p>
        </w:tc>
        <w:tc>
          <w:tcPr>
            <w:tcW w:type="dxa" w:w="1275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28.790</w:t>
            </w:r>
          </w:p>
        </w:tc>
        <w:tc>
          <w:tcPr>
            <w:tcW w:type="dxa" w:w="1275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7.28</w:t>
            </w:r>
          </w:p>
        </w:tc>
        <w:tc>
          <w:tcPr>
            <w:tcW w:type="dxa" w:w="1275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24.70</w:t>
            </w:r>
          </w:p>
        </w:tc>
      </w:tr>
      <w:tr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02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ABO image-to-text retrieval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7.872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40.659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0.930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16.961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5.17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18.23</w:t>
            </w:r>
          </w:p>
        </w:tc>
      </w:tr>
      <w:tr>
        <w:tc>
          <w:tcPr>
            <w:tcW w:type="dxa" w:w="1275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03</w:t>
            </w:r>
          </w:p>
        </w:tc>
        <w:tc>
          <w:tcPr>
            <w:tcW w:type="dxa" w:w="1275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ABO image-to-image retrieval</w:t>
            </w:r>
          </w:p>
        </w:tc>
        <w:tc>
          <w:tcPr>
            <w:tcW w:type="dxa" w:w="1275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7.781</w:t>
            </w:r>
          </w:p>
        </w:tc>
        <w:tc>
          <w:tcPr>
            <w:tcW w:type="dxa" w:w="1275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44.930</w:t>
            </w:r>
          </w:p>
        </w:tc>
        <w:tc>
          <w:tcPr>
            <w:tcW w:type="dxa" w:w="1275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0.921</w:t>
            </w:r>
          </w:p>
        </w:tc>
        <w:tc>
          <w:tcPr>
            <w:tcW w:type="dxa" w:w="1275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19.048</w:t>
            </w:r>
          </w:p>
        </w:tc>
        <w:tc>
          <w:tcPr>
            <w:tcW w:type="dxa" w:w="1275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5.77</w:t>
            </w:r>
          </w:p>
        </w:tc>
        <w:tc>
          <w:tcPr>
            <w:tcW w:type="dxa" w:w="1275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20.69</w:t>
            </w:r>
          </w:p>
        </w:tc>
      </w:tr>
      <w:tr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05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LSP keypoint detection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5.084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17.463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0.585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7.016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3.43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12.00</w:t>
            </w:r>
          </w:p>
        </w:tc>
      </w:tr>
      <w:tr>
        <w:tc>
          <w:tcPr>
            <w:tcW w:type="dxa" w:w="1275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06</w:t>
            </w:r>
          </w:p>
        </w:tc>
        <w:tc>
          <w:tcPr>
            <w:tcW w:type="dxa" w:w="1275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SALICON saliency</w:t>
            </w:r>
          </w:p>
        </w:tc>
        <w:tc>
          <w:tcPr>
            <w:tcW w:type="dxa" w:w="1275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5.055</w:t>
            </w:r>
          </w:p>
        </w:tc>
        <w:tc>
          <w:tcPr>
            <w:tcW w:type="dxa" w:w="1275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17.797</w:t>
            </w:r>
          </w:p>
        </w:tc>
        <w:tc>
          <w:tcPr>
            <w:tcW w:type="dxa" w:w="1275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0.582</w:t>
            </w:r>
          </w:p>
        </w:tc>
        <w:tc>
          <w:tcPr>
            <w:tcW w:type="dxa" w:w="1275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7.163</w:t>
            </w:r>
          </w:p>
        </w:tc>
        <w:tc>
          <w:tcPr>
            <w:tcW w:type="dxa" w:w="1275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3.52</w:t>
            </w:r>
          </w:p>
        </w:tc>
        <w:tc>
          <w:tcPr>
            <w:tcW w:type="dxa" w:w="1275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12.31</w:t>
            </w:r>
          </w:p>
        </w:tc>
      </w:tr>
      <w:tr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07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OpenMoji semantic interaction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9.037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44.298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1.052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18.514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4.90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17.60</w:t>
            </w:r>
          </w:p>
        </w:tc>
      </w:tr>
    </w:tbl>
    <w:p>
      <w:r>
        <w:t>注：LGVQ temporal 的 Ours 是 16 个视频共享一个光场的批次延迟；基线为 16 次 batch=1 调用之和。其余行均为单样本。表中所有派生数值由同目录 calculated_summary.json/csv 生成。</w:t>
      </w:r>
    </w:p>
    <w:p>
      <w:pPr>
        <w:pStyle w:val="Heading1"/>
      </w:pPr>
      <w:r>
        <w:t>运算量口径</w:t>
      </w:r>
    </w:p>
    <w:p>
      <w:r>
        <w:t>统一采用 1 个实数 MAC = 2 OP。基线通过真实前向钩子统计第一个 Vision block 后实际执行的 Linear、Conv 与注意力 QK/AV；不把激活、归一化、池化、索引、softmax 等无 MAC 操作虚构为 MAC。Ours 的传播运算量按 478×478 个模式的稠密复数线性变换等效计数，并明确标注为 effective TOP；A100 侧标注为 achieved MAC-derived TOP。二者不能与芯片数据手册峰值 TOPS 混用。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vAlign w:val="center"/>
            <w:shd w:fill="0B5A8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1700"/>
            <w:vAlign w:val="center"/>
            <w:shd w:fill="0B5A8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Ours effective TOP</w:t>
            </w:r>
          </w:p>
        </w:tc>
        <w:tc>
          <w:tcPr>
            <w:tcW w:type="dxa" w:w="1700"/>
            <w:vAlign w:val="center"/>
            <w:shd w:fill="0B5A8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Baseline achieved TOP</w:t>
            </w:r>
          </w:p>
        </w:tc>
        <w:tc>
          <w:tcPr>
            <w:tcW w:type="dxa" w:w="1700"/>
            <w:vAlign w:val="center"/>
            <w:shd w:fill="0B5A8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Ours TOPS/W</w:t>
            </w:r>
          </w:p>
        </w:tc>
        <w:tc>
          <w:tcPr>
            <w:tcW w:type="dxa" w:w="1700"/>
            <w:vAlign w:val="center"/>
            <w:shd w:fill="0B5A8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Baseline TOPS/W</w:t>
            </w:r>
          </w:p>
        </w:tc>
        <w:tc>
          <w:tcPr>
            <w:tcW w:type="dxa" w:w="1700"/>
            <w:vAlign w:val="center"/>
            <w:shd w:fill="0B5A8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提升×</w:t>
            </w:r>
          </w:p>
        </w:tc>
      </w:tr>
      <w:tr>
        <w:tc>
          <w:tcPr>
            <w:tcW w:type="dxa" w:w="1700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01a</w:t>
            </w:r>
          </w:p>
        </w:tc>
        <w:tc>
          <w:tcPr>
            <w:tcW w:type="dxa" w:w="1700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0.6270</w:t>
            </w:r>
          </w:p>
        </w:tc>
        <w:tc>
          <w:tcPr>
            <w:tcW w:type="dxa" w:w="1700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39.2022</w:t>
            </w:r>
          </w:p>
        </w:tc>
        <w:tc>
          <w:tcPr>
            <w:tcW w:type="dxa" w:w="1700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0.5196</w:t>
            </w:r>
          </w:p>
        </w:tc>
        <w:tc>
          <w:tcPr>
            <w:tcW w:type="dxa" w:w="1700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0.0848</w:t>
            </w:r>
          </w:p>
        </w:tc>
        <w:tc>
          <w:tcPr>
            <w:tcW w:type="dxa" w:w="1700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6.12</w:t>
            </w:r>
          </w:p>
        </w:tc>
      </w:tr>
      <w:tr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01b</w:t>
            </w:r>
          </w:p>
        </w:tc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0.6266</w:t>
            </w:r>
          </w:p>
        </w:tc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2.4501</w:t>
            </w:r>
          </w:p>
        </w:tc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0.5375</w:t>
            </w:r>
          </w:p>
        </w:tc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0.0851</w:t>
            </w:r>
          </w:p>
        </w:tc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6.32</w:t>
            </w:r>
          </w:p>
        </w:tc>
      </w:tr>
      <w:tr>
        <w:tc>
          <w:tcPr>
            <w:tcW w:type="dxa" w:w="1700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02</w:t>
            </w:r>
          </w:p>
        </w:tc>
        <w:tc>
          <w:tcPr>
            <w:tcW w:type="dxa" w:w="1700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0.6265</w:t>
            </w:r>
          </w:p>
        </w:tc>
        <w:tc>
          <w:tcPr>
            <w:tcW w:type="dxa" w:w="1700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0.2971</w:t>
            </w:r>
          </w:p>
        </w:tc>
        <w:tc>
          <w:tcPr>
            <w:tcW w:type="dxa" w:w="1700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0.6735</w:t>
            </w:r>
          </w:p>
        </w:tc>
        <w:tc>
          <w:tcPr>
            <w:tcW w:type="dxa" w:w="1700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0.0175</w:t>
            </w:r>
          </w:p>
        </w:tc>
        <w:tc>
          <w:tcPr>
            <w:tcW w:type="dxa" w:w="1700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38.45</w:t>
            </w:r>
          </w:p>
        </w:tc>
      </w:tr>
      <w:tr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03</w:t>
            </w:r>
          </w:p>
        </w:tc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0.6265</w:t>
            </w:r>
          </w:p>
        </w:tc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0.2999</w:t>
            </w:r>
          </w:p>
        </w:tc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0.6804</w:t>
            </w:r>
          </w:p>
        </w:tc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0.0157</w:t>
            </w:r>
          </w:p>
        </w:tc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43.21</w:t>
            </w:r>
          </w:p>
        </w:tc>
      </w:tr>
      <w:tr>
        <w:tc>
          <w:tcPr>
            <w:tcW w:type="dxa" w:w="1700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05</w:t>
            </w:r>
          </w:p>
        </w:tc>
        <w:tc>
          <w:tcPr>
            <w:tcW w:type="dxa" w:w="1700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0.3135</w:t>
            </w:r>
          </w:p>
        </w:tc>
        <w:tc>
          <w:tcPr>
            <w:tcW w:type="dxa" w:w="1700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0.1293</w:t>
            </w:r>
          </w:p>
        </w:tc>
        <w:tc>
          <w:tcPr>
            <w:tcW w:type="dxa" w:w="1700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0.5360</w:t>
            </w:r>
          </w:p>
        </w:tc>
        <w:tc>
          <w:tcPr>
            <w:tcW w:type="dxa" w:w="1700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0.0184</w:t>
            </w:r>
          </w:p>
        </w:tc>
        <w:tc>
          <w:tcPr>
            <w:tcW w:type="dxa" w:w="1700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29.08</w:t>
            </w:r>
          </w:p>
        </w:tc>
      </w:tr>
      <w:tr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06</w:t>
            </w:r>
          </w:p>
        </w:tc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0.3135</w:t>
            </w:r>
          </w:p>
        </w:tc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0.1260</w:t>
            </w:r>
          </w:p>
        </w:tc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0.5390</w:t>
            </w:r>
          </w:p>
        </w:tc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0.0176</w:t>
            </w:r>
          </w:p>
        </w:tc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30.65</w:t>
            </w:r>
          </w:p>
        </w:tc>
      </w:tr>
      <w:tr>
        <w:tc>
          <w:tcPr>
            <w:tcW w:type="dxa" w:w="1700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07</w:t>
            </w:r>
          </w:p>
        </w:tc>
        <w:tc>
          <w:tcPr>
            <w:tcW w:type="dxa" w:w="1700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0.6266</w:t>
            </w:r>
          </w:p>
        </w:tc>
        <w:tc>
          <w:tcPr>
            <w:tcW w:type="dxa" w:w="1700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0.3106</w:t>
            </w:r>
          </w:p>
        </w:tc>
        <w:tc>
          <w:tcPr>
            <w:tcW w:type="dxa" w:w="1700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0.5957</w:t>
            </w:r>
          </w:p>
        </w:tc>
        <w:tc>
          <w:tcPr>
            <w:tcW w:type="dxa" w:w="1700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0.0168</w:t>
            </w:r>
          </w:p>
        </w:tc>
        <w:tc>
          <w:tcPr>
            <w:tcW w:type="dxa" w:w="1700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35.51</w:t>
            </w:r>
          </w:p>
        </w:tc>
      </w:tr>
    </w:tbl>
    <w:p>
      <w:pPr>
        <w:pStyle w:val="Heading1"/>
      </w:pPr>
      <w:r>
        <w:t>版本、数据与可复核性</w:t>
      </w:r>
    </w:p>
    <w:p>
      <w:r>
        <w:t>每项报告均保留：逐样本/逐调用时间 CSV、连续功率采样 CSV、进程占用审计、模型/检查点/源码 SHA-256、运行命令与环境。原始服务器目录为 /DATA/DATA1/guest3/2026OpticsMoE_a100_measurements/20260927_demo_energy_efficiency_a100；本地镜像位于本说明同目录的 raw_remote，并另按 baseline/ours/任务编号整理。</w:t>
      </w:r>
    </w:p>
    <w:p>
      <w:r>
        <w:t>LSP 的红框展示值 0.7353 尚未找到可严格绑定的结果文件；当前可追溯的 Ours 完整测试结果为 0.7347857143。为避免学术性替换，本报告保留精确绑定值。OpenMoji 基线固定为新布局 0.8120，不混用旧结果 0.8420。</w:t>
      </w:r>
    </w:p>
    <w:p>
      <w:pPr>
        <w:pStyle w:val="Heading1"/>
      </w:pPr>
      <w:r>
        <w:t>质量控制</w:t>
      </w:r>
    </w:p>
    <w:p>
      <w:pPr>
        <w:pStyle w:val="ListBullet"/>
      </w:pPr>
      <w:r>
        <w:t>A100 物理索引固定为 6；每个正式 profiler 在测量前后检查无其他计算 PID。</w:t>
      </w:r>
    </w:p>
    <w:p>
      <w:pPr>
        <w:pStyle w:val="ListBullet"/>
      </w:pPr>
      <w:r>
        <w:t>01 的首轮功率误读物理 GPU 0 已被识别并作废；正式结果为重测后的物理 GPU 6 数据，作废文件保留在 audit_rejected_wrong_gpu0_power。</w:t>
      </w:r>
    </w:p>
    <w:p>
      <w:pPr>
        <w:pStyle w:val="ListBullet"/>
      </w:pPr>
      <w:r>
        <w:t>所有计时均无显式 warm-up，且第 1 项包含在均值中；不通过删除慢启动样本缩短结果。</w:t>
      </w:r>
    </w:p>
    <w:p>
      <w:pPr>
        <w:pStyle w:val="ListBullet"/>
      </w:pPr>
      <w:r>
        <w:t>04、08 状态为 reserved，待模型定稿后按相同协议补测。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LightGenV2 · A100 demo energy-efficiency audit · 2026-09-27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等线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等线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等线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