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unbond_breaking_chains_umfassende_2a240d"/>
      <w:r>
        <w:rPr>
          <w:rFonts w:eastAsia="georgia" w:cs="georgia" w:ascii="georgia" w:hAnsi="georgia"/>
          <w:b/>
          <w:color w:val="000000"/>
          <w:sz w:val="39"/>
        </w:rPr>
        <w:t xml:space="preserve">UNBOND – Breaking Chains: Umfassende Gap-Analyse</w:t>
      </w:r>
      <w:bookmarkEnd w:id="0"/>
    </w:p>
    <w:p>
      <w:pPr>
        <w:spacing w:line="360" w:after="210" w:lineRule="auto"/>
      </w:pPr>
      <w:r>
        <w:rPr>
          <w:rFonts w:eastAsia="georgia" w:cs="georgia" w:ascii="georgia" w:hAnsi="georgia"/>
          <w:i/>
          <w:color w:val="000000"/>
        </w:rPr>
        <w:t xml:space="preserve">Erstellt auf Basis von: UNBOND-Modulstruktur (eBook), Marketinganalyse (Milena &amp; Silke), Trauma-Frameworks-Recherche (20+ Frameworks). Stand: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UNBOND – Breaking Chains ist ein 10-Schritte-Begleitprogramm für lesbische und queere Frauen nach toxischen Beziehungen. Es integriert CBT, DBT, ACT, Polyvagal-Theorie, Metakognitive Therapie und Neurobiologie (Fisher, Langeslag) in eine strukturierte, story-basierte Lernreise. Die vorliegende Analyse vergleicht das bestehende Programm systematisch mit 22 evidenzbasierten Frameworks und einer </w:t>
      </w:r>
      <w:hyperlink r:id="rId5">
        <w:r>
          <w:rPr>
            <w:rFonts w:eastAsia="helvetica neue" w:cs="helvetica neue" w:ascii="helvetica neue" w:hAnsi="helvetica neue"/>
            <w:color w:val="#000"/>
            <w:u w:val="single"/>
          </w:rPr>
          <w:t xml:space="preserve">APA-abgeleiteten Abschlusscheckliste (2024)</w:t>
        </w:r>
      </w:hyperlink>
      <w:r>
        <w:rPr>
          <w:rFonts w:eastAsia="georgia" w:cs="georgia" w:ascii="georgia" w:hAnsi="georgia"/>
          <w:color w:val="000000"/>
        </w:rPr>
        <w:t xml:space="preserve"> für umfassende Trauma-Bonding-Recovery-Programme.</w:t>
      </w:r>
    </w:p>
    <w:p>
      <w:pPr>
        <w:spacing w:line="360" w:after="210" w:lineRule="auto"/>
      </w:pPr>
      <w:r>
        <w:rPr>
          <w:rFonts w:eastAsia="georgia" w:cs="georgia" w:ascii="georgia" w:hAnsi="georgia"/>
          <w:b/>
          <w:color w:val="000000"/>
        </w:rPr>
        <w:t xml:space="preserve">Was UNBOND gut macht:</w:t>
      </w:r>
      <w:r>
        <w:rPr>
          <w:rFonts w:eastAsia="georgia" w:cs="georgia" w:ascii="georgia" w:hAnsi="georgia"/>
          <w:color w:val="000000"/>
        </w:rPr>
        <w:t xml:space="preserve"> Das Programm bietet eine neurologisch fundierte, queerspezifisch verankerte und hochstrukturierte Lernreise. Die Kombination aus Story (Mary &amp; Sandra), Diagnose, Lösung, Übungen und Deep Dive ist methodisch stark und unterscheidet UNBOND von reinen Ratgeber-Formaten. Die Abdeckung der neurobiologischen Grundlagen (Dopamin, Polyvagal, Trauma-Bonding-Mechanik) übertrifft die meisten Selbsthilfeprogramme auf dem Markt.</w:t>
      </w:r>
    </w:p>
    <w:p>
      <w:pPr>
        <w:spacing w:line="360" w:after="210" w:lineRule="auto"/>
      </w:pPr>
      <w:r>
        <w:rPr>
          <w:rFonts w:eastAsia="georgia" w:cs="georgia" w:ascii="georgia" w:hAnsi="georgia"/>
          <w:b/>
          <w:color w:val="000000"/>
        </w:rPr>
        <w:t xml:space="preserve">Aktuelle Abdeckungsquote:</w:t>
      </w:r>
      <w:r>
        <w:rPr>
          <w:rFonts w:eastAsia="georgia" w:cs="georgia" w:ascii="georgia" w:hAnsi="georgia"/>
          <w:color w:val="000000"/>
        </w:rPr>
        <w:t xml:space="preserve"> ~72% der Kernanforderungen laut Abschlusscheckliste sind abgedeckt. Nach Umsetzung aller Empfehlungen in dieser Analyse wird eine Abdeckungsquote von ~94–96% erwartet.</w:t>
      </w:r>
    </w:p>
    <w:p>
      <w:pPr>
        <w:spacing w:line="360" w:after="210" w:lineRule="auto"/>
      </w:pPr>
      <w:r>
        <w:rPr>
          <w:rFonts w:eastAsia="georgia" w:cs="georgia" w:ascii="georgia" w:hAnsi="georgia"/>
          <w:b/>
          <w:color w:val="000000"/>
        </w:rPr>
        <w:t xml:space="preserve">Identifizierte Lücken gesamt:</w:t>
      </w:r>
      <w:r>
        <w:rPr>
          <w:rFonts w:eastAsia="georgia" w:cs="georgia" w:ascii="georgia" w:hAnsi="georgia"/>
          <w:color w:val="000000"/>
        </w:rPr>
        <w:t xml:space="preserve"> 7 bereits dokumentierte Lücken (Marketinganalyse) + 8 neu identifizierte Lücken aus dem Framework-Vergleich = </w:t>
      </w:r>
      <w:r>
        <w:rPr>
          <w:rFonts w:eastAsia="georgia" w:cs="georgia" w:ascii="georgia" w:hAnsi="georgia"/>
          <w:b/>
          <w:color w:val="000000"/>
        </w:rPr>
        <w:t xml:space="preserve">15 Lücken</w:t>
      </w:r>
      <w:r>
        <w:rPr>
          <w:rFonts w:eastAsia="georgia" w:cs="georgia" w:ascii="georgia" w:hAnsi="georgia"/>
          <w:color w:val="000000"/>
        </w:rPr>
        <w:t xml:space="preserve"> mit konkreten Maßnahmen.</w:t>
      </w:r>
    </w:p>
    <w:p>
      <w:pPr>
        <w:spacing w:line="360" w:after="210" w:lineRule="auto"/>
      </w:pPr>
      <w:r>
        <w:rPr>
          <w:rFonts w:eastAsia="georgia" w:cs="georgia" w:ascii="georgia" w:hAnsi="georgia"/>
          <w:b/>
          <w:color w:val="000000"/>
        </w:rPr>
        <w:t xml:space="preserve">Kritischste Handlungsfelder:</w:t>
      </w:r>
    </w:p>
    <w:p>
      <w:pPr>
        <w:numPr>
          <w:ilvl w:val="0"/>
          <w:numId w:val="1"/>
        </w:numPr>
        <w:spacing w:line="360" w:before="105" w:after="105" w:lineRule="auto"/>
      </w:pPr>
      <w:r>
        <w:rPr>
          <w:rFonts w:eastAsia="georgia" w:cs="georgia" w:ascii="georgia" w:hAnsi="georgia"/>
          <w:color w:val="000000"/>
          <w:sz w:val="21"/>
        </w:rPr>
        <w:t xml:space="preserve">Schema-Therapie-Tiefe (Kindheitswurzeln – frühe maladaptive Schemata) fehlt weitgehend</w:t>
      </w:r>
    </w:p>
    <w:p>
      <w:pPr>
        <w:numPr>
          <w:ilvl w:val="0"/>
          <w:numId w:val="1"/>
        </w:numPr>
        <w:spacing w:line="360" w:before="105" w:after="105" w:lineRule="auto"/>
      </w:pPr>
      <w:r>
        <w:rPr>
          <w:rFonts w:eastAsia="georgia" w:cs="georgia" w:ascii="georgia" w:hAnsi="georgia"/>
          <w:color w:val="000000"/>
          <w:sz w:val="21"/>
        </w:rPr>
        <w:t xml:space="preserve">IFS/Parts Work ist nur angedeutet, aber nicht als eigenständiges Werkzeug vorhanden</w:t>
      </w:r>
    </w:p>
    <w:p>
      <w:pPr>
        <w:numPr>
          <w:ilvl w:val="0"/>
          <w:numId w:val="1"/>
        </w:numPr>
        <w:spacing w:line="360" w:before="105" w:after="105" w:lineRule="auto"/>
      </w:pPr>
      <w:r>
        <w:rPr>
          <w:rFonts w:eastAsia="georgia" w:cs="georgia" w:ascii="georgia" w:hAnsi="georgia"/>
          <w:color w:val="000000"/>
          <w:sz w:val="21"/>
        </w:rPr>
        <w:t xml:space="preserve">CFT/Selbstmitgefühl: erwähnt, nicht als vollständiges Modul ausgearbeitet</w:t>
      </w:r>
    </w:p>
    <w:p>
      <w:pPr>
        <w:numPr>
          <w:ilvl w:val="0"/>
          <w:numId w:val="1"/>
        </w:numPr>
        <w:spacing w:line="360" w:before="105" w:after="105" w:lineRule="auto"/>
      </w:pPr>
      <w:r>
        <w:rPr>
          <w:rFonts w:eastAsia="georgia" w:cs="georgia" w:ascii="georgia" w:hAnsi="georgia"/>
          <w:color w:val="000000"/>
          <w:sz w:val="21"/>
        </w:rPr>
        <w:t xml:space="preserve">Forensische Dokumentation (Behördenschutz) völlig absent</w:t>
      </w:r>
    </w:p>
    <w:p>
      <w:pPr>
        <w:numPr>
          <w:ilvl w:val="0"/>
          <w:numId w:val="1"/>
        </w:numPr>
        <w:spacing w:line="360" w:before="105" w:after="105" w:lineRule="auto"/>
      </w:pPr>
      <w:r>
        <w:rPr>
          <w:rFonts w:eastAsia="georgia" w:cs="georgia" w:ascii="georgia" w:hAnsi="georgia"/>
          <w:color w:val="000000"/>
          <w:sz w:val="21"/>
        </w:rPr>
        <w:t xml:space="preserve">Digitale Manipulation und Breadcrumbing nicht adressiert</w:t>
      </w:r>
    </w:p>
    <w:p>
      <w:pPr>
        <w:numPr>
          <w:ilvl w:val="0"/>
          <w:numId w:val="1"/>
        </w:numPr>
        <w:spacing w:line="360" w:before="105" w:after="105" w:lineRule="auto"/>
      </w:pPr>
      <w:r>
        <w:rPr>
          <w:rFonts w:eastAsia="georgia" w:cs="georgia" w:ascii="georgia" w:hAnsi="georgia"/>
          <w:color w:val="000000"/>
          <w:sz w:val="21"/>
        </w:rPr>
        <w:t xml:space="preserve">Disenfranchised Grief (Durvasula) nicht explizit bearbeitet</w:t>
      </w:r>
    </w:p>
    <w:p>
      <w:pPr>
        <w:numPr>
          <w:ilvl w:val="0"/>
          <w:numId w:val="1"/>
        </w:numPr>
        <w:spacing w:line="360" w:before="105" w:after="105" w:lineRule="auto"/>
      </w:pPr>
      <w:r>
        <w:rPr>
          <w:rFonts w:eastAsia="georgia" w:cs="georgia" w:ascii="georgia" w:hAnsi="georgia"/>
          <w:color w:val="000000"/>
          <w:sz w:val="21"/>
        </w:rPr>
        <w:t xml:space="preserve">Love Addiction Framework (Mellody, Schaeffer) nur partiell integriert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methodik"/>
      <w:r>
        <w:rPr>
          <w:rFonts w:eastAsia="georgia" w:cs="georgia" w:ascii="georgia" w:hAnsi="georgia"/>
          <w:b/>
          <w:color w:val="000000"/>
          <w:sz w:val="24"/>
        </w:rPr>
        <w:t xml:space="preserve">Methodik</w:t>
      </w:r>
      <w:bookmarkEnd w:id="2"/>
    </w:p>
    <w:p>
      <w:pPr>
        <w:spacing w:line="360" w:before="315" w:after="105" w:lineRule="auto"/>
        <w:ind w:left="-30"/>
        <w:jc w:val="left"/>
      </w:pPr>
      <w:bookmarkStart w:id="3" w:name="frameworks_als_benchmark"/>
      <w:r>
        <w:rPr>
          <w:rFonts w:eastAsia="georgia" w:cs="georgia" w:ascii="georgia" w:hAnsi="georgia"/>
          <w:b/>
          <w:color w:val="000000"/>
          <w:sz w:val="24"/>
        </w:rPr>
        <w:t xml:space="preserve">Frameworks als Benchmark</w:t>
      </w:r>
      <w:bookmarkEnd w:id="3"/>
    </w:p>
    <w:p>
      <w:pPr>
        <w:spacing w:line="360" w:after="210" w:lineRule="auto"/>
      </w:pPr>
      <w:r>
        <w:rPr>
          <w:rFonts w:eastAsia="georgia" w:cs="georgia" w:ascii="georgia" w:hAnsi="georgia"/>
          <w:color w:val="000000"/>
        </w:rPr>
        <w:t xml:space="preserve">Die Analyse vergleicht UNBOND mit folgenden 22 Frameworks und Ansätzen: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Kategorie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Frameworks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Beziehungstrauma &amp; Trauma-Bonding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Judith Herman (Triphasisches Modell), Patrick Carnes (Betrayal Bond), Bessel van der Kolk (Somatischer Ansatz), Peter Levine (Somatic Experiencing), Sandra Langeslag (Liebesregulation)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Narzisstischer Missbrauch Recovery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Shannon Thomas (Healing from Hidden Abuse), Lundy Bancroft (Täterorientiertes Modell), Dr. Ramani Durvasula (Antagonism-Informed), Craig Malkin (Narzissmus-Spektrum/Echoismus), Shahida Arabi (Trauma-Bonding-HSP)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Evidenzbasierte Therapieansätze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DBT (Linehan), ACT (Hayes), EMDR (Shapiro), Schema-Therapie (Young), IFS (Schwartz), CFT (Gilbert), NET (Narrative Exposure Therapy)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Queerspezifische Forschung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Minority Stress Model (Meyer), Fusion-Modell (Roth/Mencher), IPV in WLW-Kontexten, Internalisierte Homophobie als Trauma-Verstärker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Suchtmodell Love Addiction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Helen Fisher (Neurobiologie), Pia Mellody (Love Addict/Avoidant), Patrick Carnes (Suchtzyklus), Brenda Schaeffer (Liebessucht vs. gesunde Liebe)</w:t>
            </w:r>
          </w:p>
        </w:tc>
      </w:tr>
    </w:tbl>
    <w:p>
      <w:pPr>
        <w:spacing w:lineRule="auto"/>
      </w:pPr>
    </w:p>
    <w:p>
      <w:pPr>
        <w:spacing w:line="360" w:before="315" w:after="105" w:lineRule="auto"/>
        <w:ind w:left="-30"/>
        <w:jc w:val="left"/>
      </w:pPr>
      <w:bookmarkStart w:id="4" w:name="bewertungskriterien"/>
      <w:r>
        <w:rPr>
          <w:rFonts w:eastAsia="georgia" w:cs="georgia" w:ascii="georgia" w:hAnsi="georgia"/>
          <w:b/>
          <w:color w:val="000000"/>
          <w:sz w:val="24"/>
        </w:rPr>
        <w:t xml:space="preserve">Bewertungskriterien</w:t>
      </w:r>
      <w:bookmarkEnd w:id="4"/>
    </w:p>
    <w:p>
      <w:pPr>
        <w:spacing w:line="360" w:after="210" w:lineRule="auto"/>
      </w:pPr>
      <w:r>
        <w:rPr>
          <w:rFonts w:eastAsia="georgia" w:cs="georgia" w:ascii="georgia" w:hAnsi="georgia"/>
          <w:color w:val="000000"/>
        </w:rPr>
        <w:t xml:space="preserve">Jedes Thema aus der Abschlusscheckliste wurde nach folgendem Schema bewertet:</w:t>
      </w:r>
    </w:p>
    <w:p>
      <w:pPr>
        <w:numPr>
          <w:ilvl w:val="0"/>
          <w:numId w:val="2"/>
        </w:numPr>
        <w:spacing w:line="360" w:before="105" w:after="105" w:lineRule="auto"/>
      </w:pPr>
      <w:r>
        <w:rPr>
          <w:rFonts w:eastAsia="georgia" w:cs="georgia" w:ascii="georgia" w:hAnsi="georgia"/>
          <w:b/>
          <w:color w:val="000000"/>
          <w:sz w:val="21"/>
        </w:rPr>
        <w:t xml:space="preserve">✅ Gut abgedeckt</w:t>
      </w:r>
      <w:r>
        <w:rPr>
          <w:rFonts w:eastAsia="georgia" w:cs="georgia" w:ascii="georgia" w:hAnsi="georgia"/>
          <w:color w:val="000000"/>
          <w:sz w:val="21"/>
        </w:rPr>
        <w:t xml:space="preserve">: Thema ist explizit, methodisch und mit Übungen im Programm vorhanden</w:t>
      </w:r>
    </w:p>
    <w:p>
      <w:pPr>
        <w:numPr>
          <w:ilvl w:val="0"/>
          <w:numId w:val="2"/>
        </w:numPr>
        <w:spacing w:line="360" w:before="105" w:after="105" w:lineRule="auto"/>
      </w:pPr>
      <w:r>
        <w:rPr>
          <w:rFonts w:eastAsia="georgia" w:cs="georgia" w:ascii="georgia" w:hAnsi="georgia"/>
          <w:b/>
          <w:color w:val="000000"/>
          <w:sz w:val="21"/>
        </w:rPr>
        <w:t xml:space="preserve">⚠️ Teilweise abgedeckt</w:t>
      </w:r>
      <w:r>
        <w:rPr>
          <w:rFonts w:eastAsia="georgia" w:cs="georgia" w:ascii="georgia" w:hAnsi="georgia"/>
          <w:color w:val="000000"/>
          <w:sz w:val="21"/>
        </w:rPr>
        <w:t xml:space="preserve">: Thema wird erwähnt oder berührt, ohne ausreichende Tiefe oder Übungsangebote</w:t>
      </w:r>
    </w:p>
    <w:p>
      <w:pPr>
        <w:numPr>
          <w:ilvl w:val="0"/>
          <w:numId w:val="2"/>
        </w:numPr>
        <w:spacing w:line="360" w:before="105" w:after="105" w:lineRule="auto"/>
      </w:pPr>
      <w:r>
        <w:rPr>
          <w:rFonts w:eastAsia="georgia" w:cs="georgia" w:ascii="georgia" w:hAnsi="georgia"/>
          <w:b/>
          <w:color w:val="000000"/>
          <w:sz w:val="21"/>
        </w:rPr>
        <w:t xml:space="preserve">❌ Fehlt</w:t>
      </w:r>
      <w:r>
        <w:rPr>
          <w:rFonts w:eastAsia="georgia" w:cs="georgia" w:ascii="georgia" w:hAnsi="georgia"/>
          <w:color w:val="000000"/>
          <w:sz w:val="21"/>
        </w:rPr>
        <w:t xml:space="preserve">: Thema fehlt vollständig oder wird nur in einem Nebensatz tangiert</w:t>
      </w:r>
    </w:p>
    <w:p>
      <w:pPr>
        <w:spacing w:line="360" w:after="210" w:lineRule="auto"/>
      </w:pPr>
      <w:r>
        <w:rPr>
          <w:rFonts w:eastAsia="georgia" w:cs="georgia" w:ascii="georgia" w:hAnsi="georgia"/>
          <w:color w:val="000000"/>
        </w:rPr>
        <w:t xml:space="preserve">Zusätzliche Bewertungsdimension: Queerspezifische Kontextualisierung (ist das Thema auf WLW-Realitäten angepasst?).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ist_zustand_unbond_modulstruktur"/>
      <w:r>
        <w:rPr>
          <w:rFonts w:eastAsia="georgia" w:cs="georgia" w:ascii="georgia" w:hAnsi="georgia"/>
          <w:b/>
          <w:color w:val="000000"/>
          <w:sz w:val="24"/>
        </w:rPr>
        <w:t xml:space="preserve">Ist-Zustand: UNBOND-Modulstruktur</w:t>
      </w:r>
      <w:bookmarkEnd w:id="5"/>
    </w:p>
    <w:p>
      <w:pPr>
        <w:spacing w:line="360" w:before="315" w:after="105" w:lineRule="auto"/>
        <w:ind w:left="-30"/>
        <w:jc w:val="left"/>
      </w:pPr>
      <w:bookmarkStart w:id="6" w:name="überblick_der_10_schritte_kapitel_0"/>
      <w:r>
        <w:rPr>
          <w:rFonts w:eastAsia="georgia" w:cs="georgia" w:ascii="georgia" w:hAnsi="georgia"/>
          <w:b/>
          <w:color w:val="000000"/>
          <w:sz w:val="24"/>
        </w:rPr>
        <w:t xml:space="preserve">Überblick der 10 Schritte + Kapitel 0</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Titel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Kernthema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Übungsanzahl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Kap. 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Fundament – Willkommen im Schmerz</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Nervensystem, Polyvagal, Gaslighting-Radar, kPTBS, Sucht-Check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Schritt 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SOS – Akute Stabilisierung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Amygdala-Hijacking, TIPP-Protokoll, Urge Surfing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Schritt 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Trauma-Bonding – Anatomie der Fessel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Neurobiologie der Bindung, ACT-Defusion, Dopamin-Reset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Schritt 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Rosa-Brille abnehmen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Kognitive Dissonanz, Negative Reappraisal, Realitäts-Anker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Schritt 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Contact als Neurobiologie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90-Tage-Detox, digitale Kontakt-Inventur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Schritt 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Trigger entmachten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Cue-Reaktivität, Urge Surfing, Gegenkonditionierung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Schritt 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Körper zuerst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Polyvagal, somatische Marker, Butterfly Hug (EMDR-Selbstanw.)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Schritt 07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Suchtmuster brechen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Extinction Burst, Cue-Audit, Rückfall-Ampel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Schritt 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WLW-Dynamiken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Community Boundaries, Grey Rock, Minority Stress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Schritt 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Bindungsmuster &amp; Inneres Kind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Anxious-Avoidant, Opposite Action, Inneres Kind, Scham-Inventur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Schritt 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Identität, Zukunft &amp; Abschluss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Post-Traumatisches Wachstum, Werte-Kompass, Vision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Anhang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Glossar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Fachbegriffe erklärt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bl>
    <w:p>
      <w:pPr>
        <w:spacing w:lineRule="auto"/>
      </w:pPr>
    </w:p>
    <w:p>
      <w:pPr>
        <w:spacing w:line="360" w:after="210" w:lineRule="auto"/>
      </w:pPr>
      <w:r>
        <w:rPr>
          <w:rFonts w:eastAsia="georgia" w:cs="georgia" w:ascii="georgia" w:hAnsi="georgia"/>
          <w:b/>
          <w:color w:val="000000"/>
        </w:rPr>
        <w:t xml:space="preserve">Geplante Bonusmodule (noch nicht im eBook):</w:t>
      </w:r>
    </w:p>
    <w:p>
      <w:pPr>
        <w:numPr>
          <w:ilvl w:val="0"/>
          <w:numId w:val="3"/>
        </w:numPr>
        <w:spacing w:line="360" w:before="105" w:after="105" w:lineRule="auto"/>
      </w:pPr>
      <w:r>
        <w:rPr>
          <w:rFonts w:eastAsia="georgia" w:cs="georgia" w:ascii="georgia" w:hAnsi="georgia"/>
          <w:color w:val="000000"/>
          <w:sz w:val="21"/>
        </w:rPr>
        <w:t xml:space="preserve">Bonus A: EMDR-nahe Selbsthilfe</w:t>
      </w:r>
    </w:p>
    <w:p>
      <w:pPr>
        <w:numPr>
          <w:ilvl w:val="0"/>
          <w:numId w:val="3"/>
        </w:numPr>
        <w:spacing w:line="360" w:before="105" w:after="105" w:lineRule="auto"/>
      </w:pPr>
      <w:r>
        <w:rPr>
          <w:rFonts w:eastAsia="georgia" w:cs="georgia" w:ascii="georgia" w:hAnsi="georgia"/>
          <w:color w:val="000000"/>
          <w:sz w:val="21"/>
        </w:rPr>
        <w:t xml:space="preserve">Bonus B: Schreibtherapie/Narrative Therapy</w:t>
      </w:r>
    </w:p>
    <w:p>
      <w:pPr>
        <w:numPr>
          <w:ilvl w:val="0"/>
          <w:numId w:val="3"/>
        </w:numPr>
        <w:spacing w:line="360" w:before="105" w:after="105" w:lineRule="auto"/>
      </w:pPr>
      <w:r>
        <w:rPr>
          <w:rFonts w:eastAsia="georgia" w:cs="georgia" w:ascii="georgia" w:hAnsi="georgia"/>
          <w:color w:val="000000"/>
          <w:sz w:val="21"/>
        </w:rPr>
        <w:t xml:space="preserve">Bonus C: Interpersonelle Therapie (IPT)</w:t>
      </w:r>
    </w:p>
    <w:p>
      <w:pPr>
        <w:numPr>
          <w:ilvl w:val="0"/>
          <w:numId w:val="3"/>
        </w:numPr>
        <w:spacing w:line="360" w:before="105" w:after="105" w:lineRule="auto"/>
      </w:pPr>
      <w:r>
        <w:rPr>
          <w:rFonts w:eastAsia="georgia" w:cs="georgia" w:ascii="georgia" w:hAnsi="georgia"/>
          <w:color w:val="000000"/>
          <w:sz w:val="21"/>
        </w:rPr>
        <w:t xml:space="preserve">Bonus D: Forensische Dokumentation</w:t>
      </w:r>
    </w:p>
    <w:p>
      <w:pPr>
        <w:numPr>
          <w:ilvl w:val="0"/>
          <w:numId w:val="3"/>
        </w:numPr>
        <w:spacing w:line="360" w:before="105" w:after="105" w:lineRule="auto"/>
      </w:pPr>
      <w:r>
        <w:rPr>
          <w:rFonts w:eastAsia="georgia" w:cs="georgia" w:ascii="georgia" w:hAnsi="georgia"/>
          <w:color w:val="000000"/>
          <w:sz w:val="21"/>
        </w:rPr>
        <w:t xml:space="preserve">Bonus E: Community-Care &amp; Queere Ressourcen</w:t>
      </w:r>
    </w:p>
    <w:p>
      <w:pPr>
        <w:spacing w:line="360" w:after="210" w:lineRule="auto"/>
      </w:pPr>
      <w:r>
        <w:rPr>
          <w:rFonts w:eastAsia="georgia" w:cs="georgia" w:ascii="georgia" w:hAnsi="georgia"/>
          <w:b/>
          <w:color w:val="000000"/>
        </w:rPr>
        <w:t xml:space="preserve">Gesamtmodule aktiv: 11</w:t>
      </w:r>
      <w:r>
        <w:rPr>
          <w:rFonts w:eastAsia="georgia" w:cs="georgia" w:ascii="georgia" w:hAnsi="georgia"/>
          <w:color w:val="000000"/>
        </w:rPr>
        <w:t xml:space="preserve"> | </w:t>
      </w:r>
      <w:r>
        <w:rPr>
          <w:rFonts w:eastAsia="georgia" w:cs="georgia" w:ascii="georgia" w:hAnsi="georgia"/>
          <w:b/>
          <w:color w:val="000000"/>
        </w:rPr>
        <w:t xml:space="preserve">Kernübungen: ~47</w:t>
      </w:r>
      <w:r>
        <w:rPr>
          <w:rFonts w:eastAsia="georgia" w:cs="georgia" w:ascii="georgia" w:hAnsi="georgia"/>
          <w:color w:val="000000"/>
        </w:rPr>
        <w:t xml:space="preserve"> | </w:t>
      </w:r>
      <w:r>
        <w:rPr>
          <w:rFonts w:eastAsia="georgia" w:cs="georgia" w:ascii="georgia" w:hAnsi="georgia"/>
          <w:b/>
          <w:color w:val="000000"/>
        </w:rPr>
        <w:t xml:space="preserve">Wissenschaftliche Säulen: 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abdeckungsmatrix"/>
      <w:r>
        <w:rPr>
          <w:rFonts w:eastAsia="georgia" w:cs="georgia" w:ascii="georgia" w:hAnsi="georgia"/>
          <w:b/>
          <w:color w:val="000000"/>
          <w:sz w:val="24"/>
        </w:rPr>
        <w:t xml:space="preserve">Abdeckungsmatrix</w:t>
      </w:r>
      <w:bookmarkEnd w:id="7"/>
    </w:p>
    <w:p>
      <w:pPr>
        <w:spacing w:line="360" w:before="315" w:after="105" w:lineRule="auto"/>
        <w:ind w:left="-30"/>
        <w:jc w:val="left"/>
      </w:pPr>
      <w:bookmarkStart w:id="8" w:name="kategorie_a_absolute_must_haves"/>
      <w:r>
        <w:rPr>
          <w:rFonts w:eastAsia="georgia" w:cs="georgia" w:ascii="georgia" w:hAnsi="georgia"/>
          <w:b/>
          <w:color w:val="000000"/>
          <w:sz w:val="24"/>
        </w:rPr>
        <w:t xml:space="preserve">Kategorie A: Absolute Must-Haves</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Kernthema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Framework-Quelle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UNBOND-Modul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Abdeckungsgrad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Bewertung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Körperliche Sicherheit / Safety Assessment</w:t>
            </w:r>
          </w:p>
        </w:tc>
        <w:tc>
          <w:tcPr>
            <w:tcBorders>
              <w:top w:val="single" w:sz="1" w:space="0" w:color="000000"/>
              <w:bottom w:val="single" w:sz="1" w:space="0" w:color="000000"/>
              <w:right w:val="single" w:sz="1" w:space="0" w:color="000000"/>
            </w:tcBorders>
          </w:tcPr>
          <w:p>
            <w:pPr>
              <w:spacing w:line="360" w:lineRule="auto"/>
            </w:pPr>
            <w:hyperlink r:id="rId6">
              <w:r>
                <w:rPr>
                  <w:rFonts w:eastAsia="helvetica neue" w:cs="helvetica neue" w:ascii="helvetica neue" w:hAnsi="helvetica neue"/>
                  <w:color w:val="#000"/>
                  <w:sz w:val="17"/>
                  <w:u w:val="single"/>
                </w:rPr>
                <w:t xml:space="preserve">Herman 1992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Notfall-Kontaktliste, Nervensystem-Check vorhanden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Psychoedukation über Trauma (Normalisierung)</w:t>
            </w:r>
          </w:p>
        </w:tc>
        <w:tc>
          <w:tcPr>
            <w:tcBorders>
              <w:top w:val="single" w:sz="1" w:space="0" w:color="000000"/>
              <w:bottom w:val="single" w:sz="1" w:space="0" w:color="000000"/>
              <w:right w:val="single" w:sz="1" w:space="0" w:color="000000"/>
            </w:tcBorders>
          </w:tcPr>
          <w:p>
            <w:pPr>
              <w:spacing w:line="360" w:lineRule="auto"/>
            </w:pPr>
            <w:hyperlink r:id="rId7">
              <w:r>
                <w:rPr>
                  <w:rFonts w:eastAsia="helvetica neue" w:cs="helvetica neue" w:ascii="helvetica neue" w:hAnsi="helvetica neue"/>
                  <w:color w:val="#000"/>
                  <w:sz w:val="17"/>
                  <w:u w:val="single"/>
                </w:rPr>
                <w:t xml:space="preserve">Herman</w:t>
              </w:r>
            </w:hyperlink>
            <w:r>
              <w:rPr>
                <w:rFonts w:eastAsia="helvetica neue" w:cs="helvetica neue" w:ascii="helvetica neue" w:hAnsi="helvetica neue"/>
                <w:color w:val="000000"/>
                <w:sz w:val="17"/>
              </w:rPr>
              <w:t xml:space="preserve">, </w:t>
            </w:r>
            <w:hyperlink r:id="rId8">
              <w:r>
                <w:rPr>
                  <w:rFonts w:eastAsia="helvetica neue" w:cs="helvetica neue" w:ascii="helvetica neue" w:hAnsi="helvetica neue"/>
                  <w:color w:val="#000"/>
                  <w:sz w:val="17"/>
                  <w:u w:val="single"/>
                </w:rPr>
                <w:t xml:space="preserve">Van der Kolk</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0.4, S02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kPTBS, Neurobiologie der Bindung gut erklärt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Emotionsregulations-Skills (DBT-basiert)</w:t>
            </w:r>
          </w:p>
        </w:tc>
        <w:tc>
          <w:tcPr>
            <w:tcBorders>
              <w:top w:val="single" w:sz="1" w:space="0" w:color="000000"/>
              <w:bottom w:val="single" w:sz="1" w:space="0" w:color="000000"/>
              <w:right w:val="single" w:sz="1" w:space="0" w:color="000000"/>
            </w:tcBorders>
          </w:tcPr>
          <w:p>
            <w:pPr>
              <w:spacing w:line="360" w:lineRule="auto"/>
            </w:pPr>
            <w:hyperlink r:id="rId9">
              <w:r>
                <w:rPr>
                  <w:rFonts w:eastAsia="helvetica neue" w:cs="helvetica neue" w:ascii="helvetica neue" w:hAnsi="helvetica neue"/>
                  <w:color w:val="#000"/>
                  <w:sz w:val="17"/>
                  <w:u w:val="single"/>
                </w:rPr>
                <w:t xml:space="preserve">Linehan / DBT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S01, S05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TIPP, STOPP, Urge Surfing, Opposite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Grounding-Techniken</w:t>
            </w:r>
          </w:p>
        </w:tc>
        <w:tc>
          <w:tcPr>
            <w:tcBorders>
              <w:top w:val="single" w:sz="1" w:space="0" w:color="000000"/>
              <w:bottom w:val="single" w:sz="1" w:space="0" w:color="000000"/>
              <w:right w:val="single" w:sz="1" w:space="0" w:color="000000"/>
            </w:tcBorders>
          </w:tcPr>
          <w:p>
            <w:pPr>
              <w:spacing w:line="360" w:lineRule="auto"/>
            </w:pPr>
            <w:hyperlink r:id="rId10">
              <w:r>
                <w:rPr>
                  <w:rFonts w:eastAsia="helvetica neue" w:cs="helvetica neue" w:ascii="helvetica neue" w:hAnsi="helvetica neue"/>
                  <w:color w:val="#000"/>
                  <w:sz w:val="17"/>
                  <w:u w:val="single"/>
                </w:rPr>
                <w:t xml:space="preserve">Levine SE</w:t>
              </w:r>
            </w:hyperlink>
            <w:r>
              <w:rPr>
                <w:rFonts w:eastAsia="helvetica neue" w:cs="helvetica neue" w:ascii="helvetica neue" w:hAnsi="helvetica neue"/>
                <w:color w:val="000000"/>
                <w:sz w:val="17"/>
              </w:rPr>
              <w:t xml:space="preserve">, </w:t>
            </w:r>
            <w:hyperlink r:id="rId11">
              <w:r>
                <w:rPr>
                  <w:rFonts w:eastAsia="helvetica neue" w:cs="helvetica neue" w:ascii="helvetica neue" w:hAnsi="helvetica neue"/>
                  <w:color w:val="#000"/>
                  <w:sz w:val="17"/>
                  <w:u w:val="single"/>
                </w:rPr>
                <w:t xml:space="preserve">Porges Polyvagal</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0.2, S06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5-4-3-2-1, Vagus-Reset, Butterfly Hug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Krisenmanagement / Suizidalität</w:t>
            </w:r>
          </w:p>
        </w:tc>
        <w:tc>
          <w:tcPr>
            <w:tcBorders>
              <w:top w:val="single" w:sz="1" w:space="0" w:color="000000"/>
              <w:bottom w:val="single" w:sz="1" w:space="0" w:color="000000"/>
              <w:right w:val="single" w:sz="1" w:space="0" w:color="000000"/>
            </w:tcBorders>
          </w:tcPr>
          <w:p>
            <w:pPr>
              <w:spacing w:line="360" w:lineRule="auto"/>
            </w:pPr>
            <w:hyperlink r:id="rId12">
              <w:r>
                <w:rPr>
                  <w:rFonts w:eastAsia="helvetica neue" w:cs="helvetica neue" w:ascii="helvetica neue" w:hAnsi="helvetica neue"/>
                  <w:color w:val="#000"/>
                  <w:sz w:val="17"/>
                  <w:u w:val="single"/>
                </w:rPr>
                <w:t xml:space="preserve">Herman Phase 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Notfallkontakte vorhanden, keine explizite Suizidalitäts-Intervention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Trauma-Bonding-Definition und -Mechanismen</w:t>
            </w:r>
          </w:p>
        </w:tc>
        <w:tc>
          <w:tcPr>
            <w:tcBorders>
              <w:top w:val="single" w:sz="1" w:space="0" w:color="000000"/>
              <w:bottom w:val="single" w:sz="1" w:space="0" w:color="000000"/>
              <w:right w:val="single" w:sz="1" w:space="0" w:color="000000"/>
            </w:tcBorders>
          </w:tcPr>
          <w:p>
            <w:pPr>
              <w:spacing w:line="360" w:lineRule="auto"/>
            </w:pPr>
            <w:hyperlink r:id="rId13">
              <w:r>
                <w:rPr>
                  <w:rFonts w:eastAsia="helvetica neue" w:cs="helvetica neue" w:ascii="helvetica neue" w:hAnsi="helvetica neue"/>
                  <w:color w:val="#000"/>
                  <w:sz w:val="17"/>
                  <w:u w:val="single"/>
                </w:rPr>
                <w:t xml:space="preserve">Carnes 1997</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Warnsignale, Neurobiologie gut abgedeckt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Intermittierende Verstärkung / Slot-Machine</w:t>
            </w:r>
          </w:p>
        </w:tc>
        <w:tc>
          <w:tcPr>
            <w:tcBorders>
              <w:top w:val="single" w:sz="1" w:space="0" w:color="000000"/>
              <w:bottom w:val="single" w:sz="1" w:space="0" w:color="000000"/>
              <w:right w:val="single" w:sz="1" w:space="0" w:color="000000"/>
            </w:tcBorders>
          </w:tcPr>
          <w:p>
            <w:pPr>
              <w:spacing w:line="360" w:lineRule="auto"/>
            </w:pPr>
            <w:hyperlink r:id="rId14">
              <w:r>
                <w:rPr>
                  <w:rFonts w:eastAsia="helvetica neue" w:cs="helvetica neue" w:ascii="helvetica neue" w:hAnsi="helvetica neue"/>
                  <w:color w:val="#000"/>
                  <w:sz w:val="17"/>
                  <w:u w:val="single"/>
                </w:rPr>
                <w:t xml:space="preserve">Carnes</w:t>
              </w:r>
            </w:hyperlink>
            <w:r>
              <w:rPr>
                <w:rFonts w:eastAsia="helvetica neue" w:cs="helvetica neue" w:ascii="helvetica neue" w:hAnsi="helvetica neue"/>
                <w:color w:val="000000"/>
                <w:sz w:val="17"/>
              </w:rPr>
              <w:t xml:space="preserve">, </w:t>
            </w:r>
            <w:hyperlink r:id="rId15">
              <w:r>
                <w:rPr>
                  <w:rFonts w:eastAsia="helvetica neue" w:cs="helvetica neue" w:ascii="helvetica neue" w:hAnsi="helvetica neue"/>
                  <w:color w:val="#000"/>
                  <w:sz w:val="17"/>
                  <w:u w:val="single"/>
                </w:rPr>
                <w:t xml:space="preserve">Arabi 2016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Spielautomat-Metapher, Jackpot-Protokoll stark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 Phasen des Trauma-Bondings</w:t>
            </w:r>
          </w:p>
        </w:tc>
        <w:tc>
          <w:tcPr>
            <w:tcBorders>
              <w:top w:val="single" w:sz="1" w:space="0" w:color="000000"/>
              <w:bottom w:val="single" w:sz="1" w:space="0" w:color="000000"/>
              <w:right w:val="single" w:sz="1" w:space="0" w:color="000000"/>
            </w:tcBorders>
          </w:tcPr>
          <w:p>
            <w:pPr>
              <w:spacing w:line="360" w:lineRule="auto"/>
            </w:pPr>
            <w:hyperlink r:id="rId16">
              <w:r>
                <w:rPr>
                  <w:rFonts w:eastAsia="helvetica neue" w:cs="helvetica neue" w:ascii="helvetica neue" w:hAnsi="helvetica neue"/>
                  <w:color w:val="#000"/>
                  <w:sz w:val="17"/>
                  <w:u w:val="single"/>
                </w:rPr>
                <w:t xml:space="preserve">Carnes</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Phasen implizit, kein explizites Phasenschema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Betrayal Bond Checklist (Selbstdiagnose)</w:t>
            </w:r>
          </w:p>
        </w:tc>
        <w:tc>
          <w:tcPr>
            <w:tcBorders>
              <w:top w:val="single" w:sz="1" w:space="0" w:color="000000"/>
              <w:bottom w:val="single" w:sz="1" w:space="0" w:color="000000"/>
              <w:right w:val="single" w:sz="1" w:space="0" w:color="000000"/>
            </w:tcBorders>
          </w:tcPr>
          <w:p>
            <w:pPr>
              <w:spacing w:line="360" w:lineRule="auto"/>
            </w:pPr>
            <w:hyperlink r:id="rId17">
              <w:r>
                <w:rPr>
                  <w:rFonts w:eastAsia="helvetica neue" w:cs="helvetica neue" w:ascii="helvetica neue" w:hAnsi="helvetica neue"/>
                  <w:color w:val="#000"/>
                  <w:sz w:val="17"/>
                  <w:u w:val="single"/>
                </w:rPr>
                <w:t xml:space="preserve">Carnes</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Sucht-Check vorhanden, kein vollständiges Betrayal-Bond-Inventar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Contact als therapeutisches Instrument</w:t>
            </w:r>
          </w:p>
        </w:tc>
        <w:tc>
          <w:tcPr>
            <w:tcBorders>
              <w:top w:val="single" w:sz="1" w:space="0" w:color="000000"/>
              <w:bottom w:val="single" w:sz="1" w:space="0" w:color="000000"/>
              <w:right w:val="single" w:sz="1" w:space="0" w:color="000000"/>
            </w:tcBorders>
          </w:tcPr>
          <w:p>
            <w:pPr>
              <w:spacing w:line="360" w:lineRule="auto"/>
            </w:pPr>
            <w:hyperlink r:id="rId18">
              <w:r>
                <w:rPr>
                  <w:rFonts w:eastAsia="helvetica neue" w:cs="helvetica neue" w:ascii="helvetica neue" w:hAnsi="helvetica neue"/>
                  <w:color w:val="#000"/>
                  <w:sz w:val="17"/>
                  <w:u w:val="single"/>
                </w:rPr>
                <w:t xml:space="preserve">Arabi</w:t>
              </w:r>
            </w:hyperlink>
            <w:r>
              <w:rPr>
                <w:rFonts w:eastAsia="helvetica neue" w:cs="helvetica neue" w:ascii="helvetica neue" w:hAnsi="helvetica neue"/>
                <w:color w:val="000000"/>
                <w:sz w:val="17"/>
              </w:rPr>
              <w:t xml:space="preserve">, </w:t>
            </w:r>
            <w:hyperlink r:id="rId19">
              <w:r>
                <w:rPr>
                  <w:rFonts w:eastAsia="helvetica neue" w:cs="helvetica neue" w:ascii="helvetica neue" w:hAnsi="helvetica neue"/>
                  <w:color w:val="#000"/>
                  <w:sz w:val="17"/>
                  <w:u w:val="single"/>
                </w:rPr>
                <w:t xml:space="preserve">Fisher</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90-Tage-Detox, Kontrakt, gut neurobiologisch begründet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A3.2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Rückfall-Management (Kontaktaufnahme-Impulse)</w:t>
            </w:r>
          </w:p>
        </w:tc>
        <w:tc>
          <w:tcPr>
            <w:tcBorders>
              <w:top w:val="single" w:sz="1" w:space="0" w:color="000000"/>
              <w:bottom w:val="single" w:sz="1" w:space="0" w:color="000000"/>
              <w:right w:val="single" w:sz="1" w:space="0" w:color="000000"/>
            </w:tcBorders>
          </w:tcPr>
          <w:p>
            <w:pPr>
              <w:spacing w:line="360" w:lineRule="auto"/>
            </w:pPr>
            <w:hyperlink r:id="rId20">
              <w:r>
                <w:rPr>
                  <w:rFonts w:eastAsia="helvetica neue" w:cs="helvetica neue" w:ascii="helvetica neue" w:hAnsi="helvetica neue"/>
                  <w:color w:val="#000"/>
                  <w:sz w:val="17"/>
                  <w:u w:val="single"/>
                </w:rPr>
                <w:t xml:space="preserve">DBT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S04, S07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Wenn-Dann-Notfallplan, Rückfall-Ampel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A3.3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 Contact bei Kindern / beruflicher Notwendigkeit</w:t>
            </w:r>
          </w:p>
        </w:tc>
        <w:tc>
          <w:tcPr>
            <w:tcBorders>
              <w:top w:val="single" w:sz="1" w:space="0" w:color="000000"/>
              <w:bottom w:val="single" w:sz="1" w:space="0" w:color="000000"/>
              <w:right w:val="single" w:sz="1" w:space="0" w:color="000000"/>
            </w:tcBorders>
          </w:tcPr>
          <w:p>
            <w:pPr>
              <w:spacing w:line="360" w:lineRule="auto"/>
            </w:pPr>
            <w:hyperlink r:id="rId21">
              <w:r>
                <w:rPr>
                  <w:rFonts w:eastAsia="helvetica neue" w:cs="helvetica neue" w:ascii="helvetica neue" w:hAnsi="helvetica neue"/>
                  <w:color w:val="#000"/>
                  <w:sz w:val="17"/>
                  <w:u w:val="single"/>
                </w:rPr>
                <w:t xml:space="preserve">Thomas 2016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Detached Contact komplett absent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A3.4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Digital-Safety / Social Media / Tracking</w:t>
            </w:r>
          </w:p>
        </w:tc>
        <w:tc>
          <w:tcPr>
            <w:tcBorders>
              <w:top w:val="single" w:sz="1" w:space="0" w:color="000000"/>
              <w:bottom w:val="single" w:sz="1" w:space="0" w:color="000000"/>
              <w:right w:val="single" w:sz="1" w:space="0" w:color="000000"/>
            </w:tcBorders>
          </w:tcPr>
          <w:p>
            <w:pPr>
              <w:spacing w:line="360" w:lineRule="auto"/>
            </w:pPr>
            <w:hyperlink r:id="rId22">
              <w:r>
                <w:rPr>
                  <w:rFonts w:eastAsia="helvetica neue" w:cs="helvetica neue" w:ascii="helvetica neue" w:hAnsi="helvetica neue"/>
                  <w:color w:val="#000"/>
                  <w:sz w:val="17"/>
                  <w:u w:val="single"/>
                </w:rPr>
                <w:t xml:space="preserve">Arabi</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S04 (partiell)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Digitale Kontakt-Inventur erwähnt, Blockade-Psychologie fehlt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Trauma-fokussierte Verarbeitung (EMDR/CPT/NET)</w:t>
            </w:r>
          </w:p>
        </w:tc>
        <w:tc>
          <w:tcPr>
            <w:tcBorders>
              <w:top w:val="single" w:sz="1" w:space="0" w:color="000000"/>
              <w:bottom w:val="single" w:sz="1" w:space="0" w:color="000000"/>
              <w:right w:val="single" w:sz="1" w:space="0" w:color="000000"/>
            </w:tcBorders>
          </w:tcPr>
          <w:p>
            <w:pPr>
              <w:spacing w:line="360" w:lineRule="auto"/>
            </w:pPr>
            <w:hyperlink r:id="rId23">
              <w:r>
                <w:rPr>
                  <w:rFonts w:eastAsia="helvetica neue" w:cs="helvetica neue" w:ascii="helvetica neue" w:hAnsi="helvetica neue"/>
                  <w:color w:val="#000"/>
                  <w:sz w:val="17"/>
                  <w:u w:val="single"/>
                </w:rPr>
                <w:t xml:space="preserve">Shapiro EMDR</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S06 (partiell)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Butterfly Hug als Selbstanwendung; kein vollständiges EMDR-Protokoll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A4.2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Kernüberzeugungen bearbeiten ("Ich bin schuld")</w:t>
            </w:r>
          </w:p>
        </w:tc>
        <w:tc>
          <w:tcPr>
            <w:tcBorders>
              <w:top w:val="single" w:sz="1" w:space="0" w:color="000000"/>
              <w:bottom w:val="single" w:sz="1" w:space="0" w:color="000000"/>
              <w:right w:val="single" w:sz="1" w:space="0" w:color="000000"/>
            </w:tcBorders>
          </w:tcPr>
          <w:p>
            <w:pPr>
              <w:spacing w:line="360" w:lineRule="auto"/>
            </w:pPr>
            <w:hyperlink r:id="rId24">
              <w:r>
                <w:rPr>
                  <w:rFonts w:eastAsia="helvetica neue" w:cs="helvetica neue" w:ascii="helvetica neue" w:hAnsi="helvetica neue"/>
                  <w:color w:val="#000"/>
                  <w:sz w:val="17"/>
                  <w:u w:val="single"/>
                </w:rPr>
                <w:t xml:space="preserve">EMDR</w:t>
              </w:r>
            </w:hyperlink>
            <w:r>
              <w:rPr>
                <w:rFonts w:eastAsia="helvetica neue" w:cs="helvetica neue" w:ascii="helvetica neue" w:hAnsi="helvetica neue"/>
                <w:color w:val="000000"/>
                <w:sz w:val="17"/>
              </w:rPr>
              <w:t xml:space="preserve">, </w:t>
            </w:r>
            <w:hyperlink r:id="rId25">
              <w:r>
                <w:rPr>
                  <w:rFonts w:eastAsia="helvetica neue" w:cs="helvetica neue" w:ascii="helvetica neue" w:hAnsi="helvetica neue"/>
                  <w:color w:val="#000"/>
                  <w:sz w:val="17"/>
                  <w:u w:val="single"/>
                </w:rPr>
                <w:t xml:space="preserve">CBT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S03, S09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Kognitive Dissonanz bearbeitet, keine systematische NC/PC-Arbeit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A4.3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Trauer und Verlust</w:t>
            </w:r>
          </w:p>
        </w:tc>
        <w:tc>
          <w:tcPr>
            <w:tcBorders>
              <w:top w:val="single" w:sz="1" w:space="0" w:color="000000"/>
              <w:bottom w:val="single" w:sz="1" w:space="0" w:color="000000"/>
              <w:right w:val="single" w:sz="1" w:space="0" w:color="000000"/>
            </w:tcBorders>
          </w:tcPr>
          <w:p>
            <w:pPr>
              <w:spacing w:line="360" w:lineRule="auto"/>
            </w:pPr>
            <w:hyperlink r:id="rId26">
              <w:r>
                <w:rPr>
                  <w:rFonts w:eastAsia="helvetica neue" w:cs="helvetica neue" w:ascii="helvetica neue" w:hAnsi="helvetica neue"/>
                  <w:color w:val="#000"/>
                  <w:sz w:val="17"/>
                  <w:u w:val="single"/>
                </w:rPr>
                <w:t xml:space="preserve">Durvasula 2024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Keine explizite Trauerarbeit, kein Disenfranchised Grief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Disenfranchised Grief</w:t>
            </w:r>
          </w:p>
        </w:tc>
        <w:tc>
          <w:tcPr>
            <w:tcBorders>
              <w:top w:val="single" w:sz="1" w:space="0" w:color="000000"/>
              <w:bottom w:val="single" w:sz="1" w:space="0" w:color="000000"/>
              <w:right w:val="single" w:sz="1" w:space="0" w:color="000000"/>
            </w:tcBorders>
          </w:tcPr>
          <w:p>
            <w:pPr>
              <w:spacing w:line="360" w:lineRule="auto"/>
            </w:pPr>
            <w:hyperlink r:id="rId27">
              <w:r>
                <w:rPr>
                  <w:rFonts w:eastAsia="helvetica neue" w:cs="helvetica neue" w:ascii="helvetica neue" w:hAnsi="helvetica neue"/>
                  <w:color w:val="#000"/>
                  <w:sz w:val="17"/>
                  <w:u w:val="single"/>
                </w:rPr>
                <w:t xml:space="preserve">Durvasula</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Komplett absent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A5.1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Selbstkonzept-Arbeit / Identitätsrekonstruktion</w:t>
            </w:r>
          </w:p>
        </w:tc>
        <w:tc>
          <w:tcPr>
            <w:tcBorders>
              <w:top w:val="single" w:sz="1" w:space="0" w:color="000000"/>
              <w:bottom w:val="single" w:sz="1" w:space="0" w:color="000000"/>
              <w:right w:val="single" w:sz="1" w:space="0" w:color="000000"/>
            </w:tcBorders>
          </w:tcPr>
          <w:p>
            <w:pPr>
              <w:spacing w:line="360" w:lineRule="auto"/>
            </w:pPr>
            <w:hyperlink r:id="rId28">
              <w:r>
                <w:rPr>
                  <w:rFonts w:eastAsia="helvetica neue" w:cs="helvetica neue" w:ascii="helvetica neue" w:hAnsi="helvetica neue"/>
                  <w:color w:val="#000"/>
                  <w:sz w:val="17"/>
                  <w:u w:val="single"/>
                </w:rPr>
                <w:t xml:space="preserve">ACT Hayes</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Werte-Kompass, Vision, UNBOND Manifest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A5.2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Werte-Klärung</w:t>
            </w:r>
          </w:p>
        </w:tc>
        <w:tc>
          <w:tcPr>
            <w:tcBorders>
              <w:top w:val="single" w:sz="1" w:space="0" w:color="000000"/>
              <w:bottom w:val="single" w:sz="1" w:space="0" w:color="000000"/>
              <w:right w:val="single" w:sz="1" w:space="0" w:color="000000"/>
            </w:tcBorders>
          </w:tcPr>
          <w:p>
            <w:pPr>
              <w:spacing w:line="360" w:lineRule="auto"/>
            </w:pPr>
            <w:hyperlink r:id="rId29">
              <w:r>
                <w:rPr>
                  <w:rFonts w:eastAsia="helvetica neue" w:cs="helvetica neue" w:ascii="helvetica neue" w:hAnsi="helvetica neue"/>
                  <w:color w:val="#000"/>
                  <w:sz w:val="17"/>
                  <w:u w:val="single"/>
                </w:rPr>
                <w:t xml:space="preserve">ACT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Werte-Kompass gut ausgearbeitet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A5.3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Grenzen-Entwicklung</w:t>
            </w:r>
          </w:p>
        </w:tc>
        <w:tc>
          <w:tcPr>
            <w:tcBorders>
              <w:top w:val="single" w:sz="1" w:space="0" w:color="000000"/>
              <w:bottom w:val="single" w:sz="1" w:space="0" w:color="000000"/>
              <w:right w:val="single" w:sz="1" w:space="0" w:color="000000"/>
            </w:tcBorders>
          </w:tcPr>
          <w:p>
            <w:pPr>
              <w:spacing w:line="360" w:lineRule="auto"/>
            </w:pPr>
            <w:hyperlink r:id="rId30">
              <w:r>
                <w:rPr>
                  <w:rFonts w:eastAsia="helvetica neue" w:cs="helvetica neue" w:ascii="helvetica neue" w:hAnsi="helvetica neue"/>
                  <w:color w:val="#000"/>
                  <w:sz w:val="17"/>
                  <w:u w:val="single"/>
                </w:rPr>
                <w:t xml:space="preserve">Thomas</w:t>
              </w:r>
            </w:hyperlink>
            <w:r>
              <w:rPr>
                <w:rFonts w:eastAsia="helvetica neue" w:cs="helvetica neue" w:ascii="helvetica neue" w:hAnsi="helvetica neue"/>
                <w:color w:val="000000"/>
                <w:sz w:val="17"/>
              </w:rPr>
              <w:t xml:space="preserve">, </w:t>
            </w:r>
            <w:hyperlink r:id="rId31">
              <w:r>
                <w:rPr>
                  <w:rFonts w:eastAsia="helvetica neue" w:cs="helvetica neue" w:ascii="helvetica neue" w:hAnsi="helvetica neue"/>
                  <w:color w:val="#000"/>
                  <w:sz w:val="17"/>
                  <w:u w:val="single"/>
                </w:rPr>
                <w:t xml:space="preserve">DBT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S08, S09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Community Boundaries vorhanden, innere Grenzen wenig ausgearbeitet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A5.4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Selbstwirksamkeit / Agency</w:t>
            </w:r>
          </w:p>
        </w:tc>
        <w:tc>
          <w:tcPr>
            <w:tcBorders>
              <w:top w:val="single" w:sz="1" w:space="0" w:color="000000"/>
              <w:bottom w:val="single" w:sz="1" w:space="0" w:color="000000"/>
              <w:right w:val="single" w:sz="1" w:space="0" w:color="000000"/>
            </w:tcBorders>
          </w:tcPr>
          <w:p>
            <w:pPr>
              <w:spacing w:line="360" w:lineRule="auto"/>
            </w:pPr>
            <w:hyperlink r:id="rId32">
              <w:r>
                <w:rPr>
                  <w:rFonts w:eastAsia="helvetica neue" w:cs="helvetica neue" w:ascii="helvetica neue" w:hAnsi="helvetica neue"/>
                  <w:color w:val="#000"/>
                  <w:sz w:val="17"/>
                  <w:u w:val="single"/>
                </w:rPr>
                <w:t xml:space="preserve">Durvasula Phase 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Brief an zukünftiges Ich, Transformationsziele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A6.1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Körper-Trauma-Verbindung (Van der Kolk)</w:t>
            </w:r>
          </w:p>
        </w:tc>
        <w:tc>
          <w:tcPr>
            <w:tcBorders>
              <w:top w:val="single" w:sz="1" w:space="0" w:color="000000"/>
              <w:bottom w:val="single" w:sz="1" w:space="0" w:color="000000"/>
              <w:right w:val="single" w:sz="1" w:space="0" w:color="000000"/>
            </w:tcBorders>
          </w:tcPr>
          <w:p>
            <w:pPr>
              <w:spacing w:line="360" w:lineRule="auto"/>
            </w:pPr>
            <w:hyperlink r:id="rId33">
              <w:r>
                <w:rPr>
                  <w:rFonts w:eastAsia="helvetica neue" w:cs="helvetica neue" w:ascii="helvetica neue" w:hAnsi="helvetica neue"/>
                  <w:color w:val="#000"/>
                  <w:sz w:val="17"/>
                  <w:u w:val="single"/>
                </w:rPr>
                <w:t xml:space="preserve">Van der Kolk 2014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Körper-Radar, 6-Atemzüge, somatische Marker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A6.2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Körperorientierte Methode (SE/Yoga)</w:t>
            </w:r>
          </w:p>
        </w:tc>
        <w:tc>
          <w:tcPr>
            <w:tcBorders>
              <w:top w:val="single" w:sz="1" w:space="0" w:color="000000"/>
              <w:bottom w:val="single" w:sz="1" w:space="0" w:color="000000"/>
              <w:right w:val="single" w:sz="1" w:space="0" w:color="000000"/>
            </w:tcBorders>
          </w:tcPr>
          <w:p>
            <w:pPr>
              <w:spacing w:line="360" w:lineRule="auto"/>
            </w:pPr>
            <w:hyperlink r:id="rId34">
              <w:r>
                <w:rPr>
                  <w:rFonts w:eastAsia="helvetica neue" w:cs="helvetica neue" w:ascii="helvetica neue" w:hAnsi="helvetica neue"/>
                  <w:color w:val="#000"/>
                  <w:sz w:val="17"/>
                  <w:u w:val="single"/>
                </w:rPr>
                <w:t xml:space="preserve">Levine SE</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Ansätze vorhanden, kein vollständiges SE-Protokoll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A6.3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Nervensystem-Regulation / Polyvagal</w:t>
            </w:r>
          </w:p>
        </w:tc>
        <w:tc>
          <w:tcPr>
            <w:tcBorders>
              <w:top w:val="single" w:sz="1" w:space="0" w:color="000000"/>
              <w:bottom w:val="single" w:sz="1" w:space="0" w:color="000000"/>
              <w:right w:val="single" w:sz="1" w:space="0" w:color="000000"/>
            </w:tcBorders>
          </w:tcPr>
          <w:p>
            <w:pPr>
              <w:spacing w:line="360" w:lineRule="auto"/>
            </w:pPr>
            <w:hyperlink r:id="rId35">
              <w:r>
                <w:rPr>
                  <w:rFonts w:eastAsia="helvetica neue" w:cs="helvetica neue" w:ascii="helvetica neue" w:hAnsi="helvetica neue"/>
                  <w:color w:val="#000"/>
                  <w:sz w:val="17"/>
                  <w:u w:val="single"/>
                </w:rPr>
                <w:t xml:space="preserve">Porges</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0.2, S06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Polyvagal-Theorie zentral im Programm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A7.1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 Flags erkennen / Love Bombing</w:t>
            </w:r>
          </w:p>
        </w:tc>
        <w:tc>
          <w:tcPr>
            <w:tcBorders>
              <w:top w:val="single" w:sz="1" w:space="0" w:color="000000"/>
              <w:bottom w:val="single" w:sz="1" w:space="0" w:color="000000"/>
              <w:right w:val="single" w:sz="1" w:space="0" w:color="000000"/>
            </w:tcBorders>
          </w:tcPr>
          <w:p>
            <w:pPr>
              <w:spacing w:line="360" w:lineRule="auto"/>
            </w:pPr>
            <w:hyperlink r:id="rId36">
              <w:r>
                <w:rPr>
                  <w:rFonts w:eastAsia="helvetica neue" w:cs="helvetica neue" w:ascii="helvetica neue" w:hAnsi="helvetica neue"/>
                  <w:color w:val="#000"/>
                  <w:sz w:val="17"/>
                  <w:u w:val="single"/>
                </w:rPr>
                <w:t xml:space="preserve">Carnes</w:t>
              </w:r>
            </w:hyperlink>
            <w:r>
              <w:rPr>
                <w:rFonts w:eastAsia="helvetica neue" w:cs="helvetica neue" w:ascii="helvetica neue" w:hAnsi="helvetica neue"/>
                <w:color w:val="000000"/>
                <w:sz w:val="17"/>
              </w:rPr>
              <w:t xml:space="preserve">, </w:t>
            </w:r>
            <w:hyperlink r:id="rId37">
              <w:r>
                <w:rPr>
                  <w:rFonts w:eastAsia="helvetica neue" w:cs="helvetica neue" w:ascii="helvetica neue" w:hAnsi="helvetica neue"/>
                  <w:color w:val="#000"/>
                  <w:sz w:val="17"/>
                  <w:u w:val="single"/>
                </w:rPr>
                <w:t xml:space="preserve">Malkin</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0.3, S02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Narzissmus-Radar, 10 Warnsignale, Weaponized Virtue Checker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A7.2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Bindungsstile (Bowlby/Ainsworth)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Bowlby/Ainsworth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Anxious-Avoidant Trap, Bindungsstil-Reflexion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A7.3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Healthy Relationship Skills</w:t>
            </w:r>
          </w:p>
        </w:tc>
        <w:tc>
          <w:tcPr>
            <w:tcBorders>
              <w:top w:val="single" w:sz="1" w:space="0" w:color="000000"/>
              <w:bottom w:val="single" w:sz="1" w:space="0" w:color="000000"/>
              <w:right w:val="single" w:sz="1" w:space="0" w:color="000000"/>
            </w:tcBorders>
          </w:tcPr>
          <w:p>
            <w:pPr>
              <w:spacing w:line="360" w:lineRule="auto"/>
            </w:pPr>
            <w:hyperlink r:id="rId38">
              <w:r>
                <w:rPr>
                  <w:rFonts w:eastAsia="helvetica neue" w:cs="helvetica neue" w:ascii="helvetica neue" w:hAnsi="helvetica neue"/>
                  <w:color w:val="#000"/>
                  <w:sz w:val="17"/>
                  <w:u w:val="single"/>
                </w:rPr>
                <w:t xml:space="preserve">DBT DEAR MAN/GIVE</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Green Flags erwähnt (Kurs-Matrix), kein explizites Modul</w:t>
            </w:r>
          </w:p>
        </w:tc>
      </w:tr>
    </w:tbl>
    <w:p>
      <w:pPr>
        <w:spacing w:lineRule="auto"/>
      </w:pPr>
    </w:p>
    <w:p>
      <w:pPr>
        <w:spacing w:line="360" w:before="315" w:after="105" w:lineRule="auto"/>
        <w:ind w:left="-30"/>
        <w:jc w:val="left"/>
      </w:pPr>
      <w:bookmarkStart w:id="9" w:name="kategorie_b_strongly_recommended"/>
      <w:r>
        <w:rPr>
          <w:rFonts w:eastAsia="georgia" w:cs="georgia" w:ascii="georgia" w:hAnsi="georgia"/>
          <w:b/>
          <w:color w:val="000000"/>
          <w:sz w:val="24"/>
        </w:rPr>
        <w:t xml:space="preserve">Kategorie B: Strongly Recommended</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Kernthema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Framework-Quelle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UNBOND-Modul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Abdeckungsgrad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Bewertung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Love Addiction Framework (Mellody/Schaeffer)</w:t>
            </w:r>
          </w:p>
        </w:tc>
        <w:tc>
          <w:tcPr>
            <w:tcBorders>
              <w:top w:val="single" w:sz="1" w:space="0" w:color="000000"/>
              <w:bottom w:val="single" w:sz="1" w:space="0" w:color="000000"/>
              <w:right w:val="single" w:sz="1" w:space="0" w:color="000000"/>
            </w:tcBorders>
          </w:tcPr>
          <w:p>
            <w:pPr>
              <w:spacing w:line="360" w:lineRule="auto"/>
            </w:pPr>
            <w:hyperlink r:id="rId39">
              <w:r>
                <w:rPr>
                  <w:rFonts w:eastAsia="helvetica neue" w:cs="helvetica neue" w:ascii="helvetica neue" w:hAnsi="helvetica neue"/>
                  <w:color w:val="#000"/>
                  <w:sz w:val="17"/>
                  <w:u w:val="single"/>
                </w:rPr>
                <w:t xml:space="preserve">Mellody 1992</w:t>
              </w:r>
            </w:hyperlink>
            <w:r>
              <w:rPr>
                <w:rFonts w:eastAsia="helvetica neue" w:cs="helvetica neue" w:ascii="helvetica neue" w:hAnsi="helvetica neue"/>
                <w:color w:val="000000"/>
                <w:sz w:val="17"/>
              </w:rPr>
              <w:t xml:space="preserve">, </w:t>
            </w:r>
            <w:hyperlink r:id="rId40">
              <w:r>
                <w:rPr>
                  <w:rFonts w:eastAsia="helvetica neue" w:cs="helvetica neue" w:ascii="helvetica neue" w:hAnsi="helvetica neue"/>
                  <w:color w:val="#000"/>
                  <w:sz w:val="17"/>
                  <w:u w:val="single"/>
                </w:rPr>
                <w:t xml:space="preserve">Schaeffer 1987</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Sucht-Check vorhanden; Love Addict/Avoidant-Tango fehlt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Suchtzyklus-Arbeit (Präokupation → Scham)</w:t>
            </w:r>
          </w:p>
        </w:tc>
        <w:tc>
          <w:tcPr>
            <w:tcBorders>
              <w:top w:val="single" w:sz="1" w:space="0" w:color="000000"/>
              <w:bottom w:val="single" w:sz="1" w:space="0" w:color="000000"/>
              <w:right w:val="single" w:sz="1" w:space="0" w:color="000000"/>
            </w:tcBorders>
          </w:tcPr>
          <w:p>
            <w:pPr>
              <w:spacing w:line="360" w:lineRule="auto"/>
            </w:pPr>
            <w:hyperlink r:id="rId41">
              <w:r>
                <w:rPr>
                  <w:rFonts w:eastAsia="helvetica neue" w:cs="helvetica neue" w:ascii="helvetica neue" w:hAnsi="helvetica neue"/>
                  <w:color w:val="#000"/>
                  <w:sz w:val="17"/>
                  <w:u w:val="single"/>
                </w:rPr>
                <w:t xml:space="preserve">Carnes</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Cue-Audit gut; Suchtzyklus nicht explizit visualisiert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Neurobiologie der Liebessucht</w:t>
            </w:r>
          </w:p>
        </w:tc>
        <w:tc>
          <w:tcPr>
            <w:tcBorders>
              <w:top w:val="single" w:sz="1" w:space="0" w:color="000000"/>
              <w:bottom w:val="single" w:sz="1" w:space="0" w:color="000000"/>
              <w:right w:val="single" w:sz="1" w:space="0" w:color="000000"/>
            </w:tcBorders>
          </w:tcPr>
          <w:p>
            <w:pPr>
              <w:spacing w:line="360" w:lineRule="auto"/>
            </w:pPr>
            <w:hyperlink r:id="rId42">
              <w:r>
                <w:rPr>
                  <w:rFonts w:eastAsia="helvetica neue" w:cs="helvetica neue" w:ascii="helvetica neue" w:hAnsi="helvetica neue"/>
                  <w:color w:val="#000"/>
                  <w:sz w:val="17"/>
                  <w:u w:val="single"/>
                </w:rPr>
                <w:t xml:space="preserve">Fisher 2016</w:t>
              </w:r>
            </w:hyperlink>
            <w:r>
              <w:rPr>
                <w:rFonts w:eastAsia="helvetica neue" w:cs="helvetica neue" w:ascii="helvetica neue" w:hAnsi="helvetica neue"/>
                <w:color w:val="000000"/>
                <w:sz w:val="17"/>
              </w:rPr>
              <w:t xml:space="preserve">, </w:t>
            </w:r>
            <w:hyperlink r:id="rId43">
              <w:r>
                <w:rPr>
                  <w:rFonts w:eastAsia="helvetica neue" w:cs="helvetica neue" w:ascii="helvetica neue" w:hAnsi="helvetica neue"/>
                  <w:color w:val="#000"/>
                  <w:sz w:val="17"/>
                  <w:u w:val="single"/>
                </w:rPr>
                <w:t xml:space="preserve">Arabi</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Dopamin-Reset, Neurobiologie der Bindung ausgeführt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Love Regulation (Langeslag)</w:t>
            </w:r>
          </w:p>
        </w:tc>
        <w:tc>
          <w:tcPr>
            <w:tcBorders>
              <w:top w:val="single" w:sz="1" w:space="0" w:color="000000"/>
              <w:bottom w:val="single" w:sz="1" w:space="0" w:color="000000"/>
              <w:right w:val="single" w:sz="1" w:space="0" w:color="000000"/>
            </w:tcBorders>
          </w:tcPr>
          <w:p>
            <w:pPr>
              <w:spacing w:line="360" w:lineRule="auto"/>
            </w:pPr>
            <w:hyperlink r:id="rId44">
              <w:r>
                <w:rPr>
                  <w:rFonts w:eastAsia="helvetica neue" w:cs="helvetica neue" w:ascii="helvetica neue" w:hAnsi="helvetica neue"/>
                  <w:color w:val="#000"/>
                  <w:sz w:val="17"/>
                  <w:u w:val="single"/>
                </w:rPr>
                <w:t xml:space="preserve">Langeslag &amp; Sanchez 2018</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Negative Reappraisal als zentrales Tool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Schema-Identifikation (frühe maladaptive Schemata)</w:t>
            </w:r>
          </w:p>
        </w:tc>
        <w:tc>
          <w:tcPr>
            <w:tcBorders>
              <w:top w:val="single" w:sz="1" w:space="0" w:color="000000"/>
              <w:bottom w:val="single" w:sz="1" w:space="0" w:color="000000"/>
              <w:right w:val="single" w:sz="1" w:space="0" w:color="000000"/>
            </w:tcBorders>
          </w:tcPr>
          <w:p>
            <w:pPr>
              <w:spacing w:line="360" w:lineRule="auto"/>
            </w:pPr>
            <w:hyperlink r:id="rId45">
              <w:r>
                <w:rPr>
                  <w:rFonts w:eastAsia="helvetica neue" w:cs="helvetica neue" w:ascii="helvetica neue" w:hAnsi="helvetica neue"/>
                  <w:color w:val="#000"/>
                  <w:sz w:val="17"/>
                  <w:u w:val="single"/>
                </w:rPr>
                <w:t xml:space="preserve">Young Schema-Therapie</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Schema-Therapie nicht integriert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Kindheitswunden-Verbindung</w:t>
            </w:r>
          </w:p>
        </w:tc>
        <w:tc>
          <w:tcPr>
            <w:tcBorders>
              <w:top w:val="single" w:sz="1" w:space="0" w:color="000000"/>
              <w:bottom w:val="single" w:sz="1" w:space="0" w:color="000000"/>
              <w:right w:val="single" w:sz="1" w:space="0" w:color="000000"/>
            </w:tcBorders>
          </w:tcPr>
          <w:p>
            <w:pPr>
              <w:spacing w:line="360" w:lineRule="auto"/>
            </w:pPr>
            <w:hyperlink r:id="rId46">
              <w:r>
                <w:rPr>
                  <w:rFonts w:eastAsia="helvetica neue" w:cs="helvetica neue" w:ascii="helvetica neue" w:hAnsi="helvetica neue"/>
                  <w:color w:val="#000"/>
                  <w:sz w:val="17"/>
                  <w:u w:val="single"/>
                </w:rPr>
                <w:t xml:space="preserve">Mellody</w:t>
              </w:r>
            </w:hyperlink>
            <w:r>
              <w:rPr>
                <w:rFonts w:eastAsia="helvetica neue" w:cs="helvetica neue" w:ascii="helvetica neue" w:hAnsi="helvetica neue"/>
                <w:color w:val="000000"/>
                <w:sz w:val="17"/>
              </w:rPr>
              <w:t xml:space="preserve">, </w:t>
            </w:r>
            <w:hyperlink r:id="rId47">
              <w:r>
                <w:rPr>
                  <w:rFonts w:eastAsia="helvetica neue" w:cs="helvetica neue" w:ascii="helvetica neue" w:hAnsi="helvetica neue"/>
                  <w:color w:val="#000"/>
                  <w:sz w:val="17"/>
                  <w:u w:val="single"/>
                </w:rPr>
                <w:t xml:space="preserve">Young</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Inneres Kind angesprochen, keine systematische Kindheitstrauma-Arbeit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Imagery Rescripting / Kindheitstrauma-Bearbeitung</w:t>
            </w:r>
          </w:p>
        </w:tc>
        <w:tc>
          <w:tcPr>
            <w:tcBorders>
              <w:top w:val="single" w:sz="1" w:space="0" w:color="000000"/>
              <w:bottom w:val="single" w:sz="1" w:space="0" w:color="000000"/>
              <w:right w:val="single" w:sz="1" w:space="0" w:color="000000"/>
            </w:tcBorders>
          </w:tcPr>
          <w:p>
            <w:pPr>
              <w:spacing w:line="360" w:lineRule="auto"/>
            </w:pPr>
            <w:hyperlink r:id="rId48">
              <w:r>
                <w:rPr>
                  <w:rFonts w:eastAsia="helvetica neue" w:cs="helvetica neue" w:ascii="helvetica neue" w:hAnsi="helvetica neue"/>
                  <w:color w:val="#000"/>
                  <w:sz w:val="17"/>
                  <w:u w:val="single"/>
                </w:rPr>
                <w:t xml:space="preserve">Young Schema-Therapie</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Komplett absent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Reparenting (Mellody)</w:t>
            </w:r>
          </w:p>
        </w:tc>
        <w:tc>
          <w:tcPr>
            <w:tcBorders>
              <w:top w:val="single" w:sz="1" w:space="0" w:color="000000"/>
              <w:bottom w:val="single" w:sz="1" w:space="0" w:color="000000"/>
              <w:right w:val="single" w:sz="1" w:space="0" w:color="000000"/>
            </w:tcBorders>
          </w:tcPr>
          <w:p>
            <w:pPr>
              <w:spacing w:line="360" w:lineRule="auto"/>
            </w:pPr>
            <w:hyperlink r:id="rId49">
              <w:r>
                <w:rPr>
                  <w:rFonts w:eastAsia="helvetica neue" w:cs="helvetica neue" w:ascii="helvetica neue" w:hAnsi="helvetica neue"/>
                  <w:color w:val="#000"/>
                  <w:sz w:val="17"/>
                  <w:u w:val="single"/>
                </w:rPr>
                <w:t xml:space="preserve">Mellody 1992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Selbst-Fürsorge erwähnt, kein strukturiertes Reparenting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IFS/Parts Work – Innere Anteile erkunden</w:t>
            </w:r>
          </w:p>
        </w:tc>
        <w:tc>
          <w:tcPr>
            <w:tcBorders>
              <w:top w:val="single" w:sz="1" w:space="0" w:color="000000"/>
              <w:bottom w:val="single" w:sz="1" w:space="0" w:color="000000"/>
              <w:right w:val="single" w:sz="1" w:space="0" w:color="000000"/>
            </w:tcBorders>
          </w:tcPr>
          <w:p>
            <w:pPr>
              <w:spacing w:line="360" w:lineRule="auto"/>
            </w:pPr>
            <w:hyperlink r:id="rId50">
              <w:r>
                <w:rPr>
                  <w:rFonts w:eastAsia="helvetica neue" w:cs="helvetica neue" w:ascii="helvetica neue" w:hAnsi="helvetica neue"/>
                  <w:color w:val="#000"/>
                  <w:sz w:val="17"/>
                  <w:u w:val="single"/>
                </w:rPr>
                <w:t xml:space="preserve">Schwartz IFS</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S02 (Metapher)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Innere Anwältinnen der Sucht als Vorstufe; kein IFS-Protokoll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B3.2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Protektoren-Arbeit / Widersprüchliche Impulse</w:t>
            </w:r>
          </w:p>
        </w:tc>
        <w:tc>
          <w:tcPr>
            <w:tcBorders>
              <w:top w:val="single" w:sz="1" w:space="0" w:color="000000"/>
              <w:bottom w:val="single" w:sz="1" w:space="0" w:color="000000"/>
              <w:right w:val="single" w:sz="1" w:space="0" w:color="000000"/>
            </w:tcBorders>
          </w:tcPr>
          <w:p>
            <w:pPr>
              <w:spacing w:line="360" w:lineRule="auto"/>
            </w:pPr>
            <w:hyperlink r:id="rId51">
              <w:r>
                <w:rPr>
                  <w:rFonts w:eastAsia="helvetica neue" w:cs="helvetica neue" w:ascii="helvetica neue" w:hAnsi="helvetica neue"/>
                  <w:color w:val="#000"/>
                  <w:sz w:val="17"/>
                  <w:u w:val="single"/>
                </w:rPr>
                <w:t xml:space="preserve">Schwartz</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„Ich will weg, aber ich kann nicht" unbearbeitet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B3.3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Internal Secure Attachment (innere Sicherheit)</w:t>
            </w:r>
          </w:p>
        </w:tc>
        <w:tc>
          <w:tcPr>
            <w:tcBorders>
              <w:top w:val="single" w:sz="1" w:space="0" w:color="000000"/>
              <w:bottom w:val="single" w:sz="1" w:space="0" w:color="000000"/>
              <w:right w:val="single" w:sz="1" w:space="0" w:color="000000"/>
            </w:tcBorders>
          </w:tcPr>
          <w:p>
            <w:pPr>
              <w:spacing w:line="360" w:lineRule="auto"/>
            </w:pPr>
            <w:hyperlink r:id="rId52">
              <w:r>
                <w:rPr>
                  <w:rFonts w:eastAsia="helvetica neue" w:cs="helvetica neue" w:ascii="helvetica neue" w:hAnsi="helvetica neue"/>
                  <w:color w:val="#000"/>
                  <w:sz w:val="17"/>
                  <w:u w:val="single"/>
                </w:rPr>
                <w:t xml:space="preserve">Schwartz</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S09 (partiell)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Inneres Kind angesprochen; IFS-basierte Selbstbindung fehlt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Scham-Psychoedukation (Scham vs. Schuld)</w:t>
            </w:r>
          </w:p>
        </w:tc>
        <w:tc>
          <w:tcPr>
            <w:tcBorders>
              <w:top w:val="single" w:sz="1" w:space="0" w:color="000000"/>
              <w:bottom w:val="single" w:sz="1" w:space="0" w:color="000000"/>
              <w:right w:val="single" w:sz="1" w:space="0" w:color="000000"/>
            </w:tcBorders>
          </w:tcPr>
          <w:p>
            <w:pPr>
              <w:spacing w:line="360" w:lineRule="auto"/>
            </w:pPr>
            <w:hyperlink r:id="rId53">
              <w:r>
                <w:rPr>
                  <w:rFonts w:eastAsia="helvetica neue" w:cs="helvetica neue" w:ascii="helvetica neue" w:hAnsi="helvetica neue"/>
                  <w:color w:val="#000"/>
                  <w:sz w:val="17"/>
                  <w:u w:val="single"/>
                </w:rPr>
                <w:t xml:space="preserve">CFT Gilbert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Scham-Inventur vorhanden, keine Scham-Psychoedukation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B4.2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CFT-Drei-Systeme-Modell / Soothing-Fähigkeiten</w:t>
            </w:r>
          </w:p>
        </w:tc>
        <w:tc>
          <w:tcPr>
            <w:tcBorders>
              <w:top w:val="single" w:sz="1" w:space="0" w:color="000000"/>
              <w:bottom w:val="single" w:sz="1" w:space="0" w:color="000000"/>
              <w:right w:val="single" w:sz="1" w:space="0" w:color="000000"/>
            </w:tcBorders>
          </w:tcPr>
          <w:p>
            <w:pPr>
              <w:spacing w:line="360" w:lineRule="auto"/>
            </w:pPr>
            <w:hyperlink r:id="rId54">
              <w:r>
                <w:rPr>
                  <w:rFonts w:eastAsia="helvetica neue" w:cs="helvetica neue" w:ascii="helvetica neue" w:hAnsi="helvetica neue"/>
                  <w:color w:val="#000"/>
                  <w:sz w:val="17"/>
                  <w:u w:val="single"/>
                </w:rPr>
                <w:t xml:space="preserve">Gilbert CFT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Komplett absent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B4.3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Selbstmitgefühl-Übungen (Neff / CFT)</w:t>
            </w:r>
          </w:p>
        </w:tc>
        <w:tc>
          <w:tcPr>
            <w:tcBorders>
              <w:top w:val="single" w:sz="1" w:space="0" w:color="000000"/>
              <w:bottom w:val="single" w:sz="1" w:space="0" w:color="000000"/>
              <w:right w:val="single" w:sz="1" w:space="0" w:color="000000"/>
            </w:tcBorders>
          </w:tcPr>
          <w:p>
            <w:pPr>
              <w:spacing w:line="360" w:lineRule="auto"/>
            </w:pPr>
            <w:hyperlink r:id="rId55">
              <w:r>
                <w:rPr>
                  <w:rFonts w:eastAsia="helvetica neue" w:cs="helvetica neue" w:ascii="helvetica neue" w:hAnsi="helvetica neue"/>
                  <w:color w:val="#000"/>
                  <w:sz w:val="17"/>
                  <w:u w:val="single"/>
                </w:rPr>
                <w:t xml:space="preserve">Neff 2003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Erwähnt als Konzept, keine ausgearbeiteten Übungen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Widerstand gegen Selbstmitgefühl bearbeiten</w:t>
            </w:r>
          </w:p>
        </w:tc>
        <w:tc>
          <w:tcPr>
            <w:tcBorders>
              <w:top w:val="single" w:sz="1" w:space="0" w:color="000000"/>
              <w:bottom w:val="single" w:sz="1" w:space="0" w:color="000000"/>
              <w:right w:val="single" w:sz="1" w:space="0" w:color="000000"/>
            </w:tcBorders>
          </w:tcPr>
          <w:p>
            <w:pPr>
              <w:spacing w:line="360" w:lineRule="auto"/>
            </w:pPr>
            <w:hyperlink r:id="rId56">
              <w:r>
                <w:rPr>
                  <w:rFonts w:eastAsia="helvetica neue" w:cs="helvetica neue" w:ascii="helvetica neue" w:hAnsi="helvetica neue"/>
                  <w:color w:val="#000"/>
                  <w:sz w:val="17"/>
                  <w:u w:val="single"/>
                </w:rPr>
                <w:t xml:space="preserve">Gilbert CFT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Paradox der Selbstmitgefühls-Angst unbearbeitet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B5.1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Unterstützungsnetzwerk aufbauen</w:t>
            </w:r>
          </w:p>
        </w:tc>
        <w:tc>
          <w:tcPr>
            <w:tcBorders>
              <w:top w:val="single" w:sz="1" w:space="0" w:color="000000"/>
              <w:bottom w:val="single" w:sz="1" w:space="0" w:color="000000"/>
              <w:right w:val="single" w:sz="1" w:space="0" w:color="000000"/>
            </w:tcBorders>
          </w:tcPr>
          <w:p>
            <w:pPr>
              <w:spacing w:line="360" w:lineRule="auto"/>
            </w:pPr>
            <w:hyperlink r:id="rId57">
              <w:r>
                <w:rPr>
                  <w:rFonts w:eastAsia="helvetica neue" w:cs="helvetica neue" w:ascii="helvetica neue" w:hAnsi="helvetica neue"/>
                  <w:color w:val="#000"/>
                  <w:sz w:val="17"/>
                  <w:u w:val="single"/>
                </w:rPr>
                <w:t xml:space="preserve">Herman Phase 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Notfall-Kontaktliste, Sicherheitsnetz vorhanden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B5.2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Isolation durchbrechen / Soziale Reintegration</w:t>
            </w:r>
          </w:p>
        </w:tc>
        <w:tc>
          <w:tcPr>
            <w:tcBorders>
              <w:top w:val="single" w:sz="1" w:space="0" w:color="000000"/>
              <w:bottom w:val="single" w:sz="1" w:space="0" w:color="000000"/>
              <w:right w:val="single" w:sz="1" w:space="0" w:color="000000"/>
            </w:tcBorders>
          </w:tcPr>
          <w:p>
            <w:pPr>
              <w:spacing w:line="360" w:lineRule="auto"/>
            </w:pPr>
            <w:hyperlink r:id="rId58">
              <w:r>
                <w:rPr>
                  <w:rFonts w:eastAsia="helvetica neue" w:cs="helvetica neue" w:ascii="helvetica neue" w:hAnsi="helvetica neue"/>
                  <w:color w:val="#000"/>
                  <w:sz w:val="17"/>
                  <w:u w:val="single"/>
                </w:rPr>
                <w:t xml:space="preserve">Thomas Stufe 5</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Community Boundaries, aber kein Isolations-Durchbruch-Protokoll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B5.3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Support-Gruppen / Peer-Support</w:t>
            </w:r>
          </w:p>
        </w:tc>
        <w:tc>
          <w:tcPr>
            <w:tcBorders>
              <w:top w:val="single" w:sz="1" w:space="0" w:color="000000"/>
              <w:bottom w:val="single" w:sz="1" w:space="0" w:color="000000"/>
              <w:right w:val="single" w:sz="1" w:space="0" w:color="000000"/>
            </w:tcBorders>
          </w:tcPr>
          <w:p>
            <w:pPr>
              <w:spacing w:line="360" w:lineRule="auto"/>
            </w:pPr>
            <w:hyperlink r:id="rId59">
              <w:r>
                <w:rPr>
                  <w:rFonts w:eastAsia="helvetica neue" w:cs="helvetica neue" w:ascii="helvetica neue" w:hAnsi="helvetica neue"/>
                  <w:color w:val="#000"/>
                  <w:sz w:val="17"/>
                  <w:u w:val="single"/>
                </w:rPr>
                <w:t xml:space="preserve">Carnes</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Bonus E (geplant)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 Hauptprogramm absent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B5.4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Community-Anbindung als Schutzfaktor</w:t>
            </w:r>
          </w:p>
        </w:tc>
        <w:tc>
          <w:tcPr>
            <w:tcBorders>
              <w:top w:val="single" w:sz="1" w:space="0" w:color="000000"/>
              <w:bottom w:val="single" w:sz="1" w:space="0" w:color="000000"/>
              <w:right w:val="single" w:sz="1" w:space="0" w:color="000000"/>
            </w:tcBorders>
          </w:tcPr>
          <w:p>
            <w:pPr>
              <w:spacing w:line="360" w:lineRule="auto"/>
            </w:pPr>
            <w:hyperlink r:id="rId60">
              <w:r>
                <w:rPr>
                  <w:rFonts w:eastAsia="helvetica neue" w:cs="helvetica neue" w:ascii="helvetica neue" w:hAnsi="helvetica neue"/>
                  <w:color w:val="#000"/>
                  <w:sz w:val="17"/>
                  <w:u w:val="single"/>
                </w:rPr>
                <w:t xml:space="preserve">Meyer Minority Stress</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Erwähnt; kein strukturiertes Community-Building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B6.1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Sinnfindung / Narrative der Recovery</w:t>
            </w:r>
          </w:p>
        </w:tc>
        <w:tc>
          <w:tcPr>
            <w:tcBorders>
              <w:top w:val="single" w:sz="1" w:space="0" w:color="000000"/>
              <w:bottom w:val="single" w:sz="1" w:space="0" w:color="000000"/>
              <w:right w:val="single" w:sz="1" w:space="0" w:color="000000"/>
            </w:tcBorders>
          </w:tcPr>
          <w:p>
            <w:pPr>
              <w:spacing w:line="360" w:lineRule="auto"/>
            </w:pPr>
            <w:hyperlink r:id="rId61">
              <w:r>
                <w:rPr>
                  <w:rFonts w:eastAsia="helvetica neue" w:cs="helvetica neue" w:ascii="helvetica neue" w:hAnsi="helvetica neue"/>
                  <w:color w:val="#000"/>
                  <w:sz w:val="17"/>
                  <w:u w:val="single"/>
                </w:rPr>
                <w:t xml:space="preserve">Herman Phase 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Post-Traumatisches Wachstum, Brief an zukünftiges Ich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B6.2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Post-Traumatisches Wachstum (Tedeschi/Calhoun)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Tedeschi/Calhoun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Kintsugi-Metapher, explizit integriert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B6.3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Neue Beziehungsqualitäten aufbauen</w:t>
            </w:r>
          </w:p>
        </w:tc>
        <w:tc>
          <w:tcPr>
            <w:tcBorders>
              <w:top w:val="single" w:sz="1" w:space="0" w:color="000000"/>
              <w:bottom w:val="single" w:sz="1" w:space="0" w:color="000000"/>
              <w:right w:val="single" w:sz="1" w:space="0" w:color="000000"/>
            </w:tcBorders>
          </w:tcPr>
          <w:p>
            <w:pPr>
              <w:spacing w:line="360" w:lineRule="auto"/>
            </w:pPr>
            <w:hyperlink r:id="rId62">
              <w:r>
                <w:rPr>
                  <w:rFonts w:eastAsia="helvetica neue" w:cs="helvetica neue" w:ascii="helvetica neue" w:hAnsi="helvetica neue"/>
                  <w:color w:val="#000"/>
                  <w:sz w:val="17"/>
                  <w:u w:val="single"/>
                </w:rPr>
                <w:t xml:space="preserve">Herman Phase 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S10 (partiell)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Vision vorhanden; gesunde Bindungskompetenzen nicht ausgearbeitet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B7.1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Idealize-Devalue-Discard-Zyklus</w:t>
            </w:r>
          </w:p>
        </w:tc>
        <w:tc>
          <w:tcPr>
            <w:tcBorders>
              <w:top w:val="single" w:sz="1" w:space="0" w:color="000000"/>
              <w:bottom w:val="single" w:sz="1" w:space="0" w:color="000000"/>
              <w:right w:val="single" w:sz="1" w:space="0" w:color="000000"/>
            </w:tcBorders>
          </w:tcPr>
          <w:p>
            <w:pPr>
              <w:spacing w:line="360" w:lineRule="auto"/>
            </w:pPr>
            <w:hyperlink r:id="rId63">
              <w:r>
                <w:rPr>
                  <w:rFonts w:eastAsia="helvetica neue" w:cs="helvetica neue" w:ascii="helvetica neue" w:hAnsi="helvetica neue"/>
                  <w:color w:val="#000"/>
                  <w:sz w:val="17"/>
                  <w:u w:val="single"/>
                </w:rPr>
                <w:t xml:space="preserve">Durvasula</w:t>
              </w:r>
            </w:hyperlink>
            <w:r>
              <w:rPr>
                <w:rFonts w:eastAsia="helvetica neue" w:cs="helvetica neue" w:ascii="helvetica neue" w:hAnsi="helvetica neue"/>
                <w:color w:val="000000"/>
                <w:sz w:val="17"/>
              </w:rPr>
              <w:t xml:space="preserve">, </w:t>
            </w:r>
            <w:hyperlink r:id="rId64">
              <w:r>
                <w:rPr>
                  <w:rFonts w:eastAsia="helvetica neue" w:cs="helvetica neue" w:ascii="helvetica neue" w:hAnsi="helvetica neue"/>
                  <w:color w:val="#000"/>
                  <w:sz w:val="17"/>
                  <w:u w:val="single"/>
                </w:rPr>
                <w:t xml:space="preserve">Thomas</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S02, S03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Phasen-Mapper, klar abgedeckt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B7.2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Gaslighting Recovery</w:t>
            </w:r>
          </w:p>
        </w:tc>
        <w:tc>
          <w:tcPr>
            <w:tcBorders>
              <w:top w:val="single" w:sz="1" w:space="0" w:color="000000"/>
              <w:bottom w:val="single" w:sz="1" w:space="0" w:color="000000"/>
              <w:right w:val="single" w:sz="1" w:space="0" w:color="000000"/>
            </w:tcBorders>
          </w:tcPr>
          <w:p>
            <w:pPr>
              <w:spacing w:line="360" w:lineRule="auto"/>
            </w:pPr>
            <w:hyperlink r:id="rId65">
              <w:r>
                <w:rPr>
                  <w:rFonts w:eastAsia="helvetica neue" w:cs="helvetica neue" w:ascii="helvetica neue" w:hAnsi="helvetica neue"/>
                  <w:color w:val="#000"/>
                  <w:sz w:val="17"/>
                  <w:u w:val="single"/>
                </w:rPr>
                <w:t xml:space="preserve">Bancroft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Gaslighting-Log vorhanden; Alltagsebene und Nachwirkungen unterentwickelt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B7.3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Täterpsychologie (Entitlement, Bancroft)</w:t>
            </w:r>
          </w:p>
        </w:tc>
        <w:tc>
          <w:tcPr>
            <w:tcBorders>
              <w:top w:val="single" w:sz="1" w:space="0" w:color="000000"/>
              <w:bottom w:val="single" w:sz="1" w:space="0" w:color="000000"/>
              <w:right w:val="single" w:sz="1" w:space="0" w:color="000000"/>
            </w:tcBorders>
          </w:tcPr>
          <w:p>
            <w:pPr>
              <w:spacing w:line="360" w:lineRule="auto"/>
            </w:pPr>
            <w:hyperlink r:id="rId66">
              <w:r>
                <w:rPr>
                  <w:rFonts w:eastAsia="helvetica neue" w:cs="helvetica neue" w:ascii="helvetica neue" w:hAnsi="helvetica neue"/>
                  <w:color w:val="#000"/>
                  <w:sz w:val="17"/>
                  <w:u w:val="single"/>
                </w:rPr>
                <w:t xml:space="preserve">Bancroft 2002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Narzissmus-Radar; Entitlement nicht explizit benannt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B7.4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Radical Acceptance (Durvasula)</w:t>
            </w:r>
          </w:p>
        </w:tc>
        <w:tc>
          <w:tcPr>
            <w:tcBorders>
              <w:top w:val="single" w:sz="1" w:space="0" w:color="000000"/>
              <w:bottom w:val="single" w:sz="1" w:space="0" w:color="000000"/>
              <w:right w:val="single" w:sz="1" w:space="0" w:color="000000"/>
            </w:tcBorders>
          </w:tcPr>
          <w:p>
            <w:pPr>
              <w:spacing w:line="360" w:lineRule="auto"/>
            </w:pPr>
            <w:hyperlink r:id="rId67">
              <w:r>
                <w:rPr>
                  <w:rFonts w:eastAsia="helvetica neue" w:cs="helvetica neue" w:ascii="helvetica neue" w:hAnsi="helvetica neue"/>
                  <w:color w:val="#000"/>
                  <w:sz w:val="17"/>
                  <w:u w:val="single"/>
                </w:rPr>
                <w:t xml:space="preserve">Durvasula</w:t>
              </w:r>
            </w:hyperlink>
            <w:r>
              <w:rPr>
                <w:rFonts w:eastAsia="helvetica neue" w:cs="helvetica neue" w:ascii="helvetica neue" w:hAnsi="helvetica neue"/>
                <w:color w:val="000000"/>
                <w:sz w:val="17"/>
              </w:rPr>
              <w:t xml:space="preserve">, </w:t>
            </w:r>
            <w:hyperlink r:id="rId68">
              <w:r>
                <w:rPr>
                  <w:rFonts w:eastAsia="helvetica neue" w:cs="helvetica neue" w:ascii="helvetica neue" w:hAnsi="helvetica neue"/>
                  <w:color w:val="#000"/>
                  <w:sz w:val="17"/>
                  <w:u w:val="single"/>
                </w:rPr>
                <w:t xml:space="preserve">DBT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ACT-Akzeptanz vorhanden; Radical Acceptance für „sie ändert sich nie" fehlt</w:t>
            </w:r>
          </w:p>
        </w:tc>
      </w:tr>
    </w:tbl>
    <w:p>
      <w:pPr>
        <w:spacing w:lineRule="auto"/>
      </w:pPr>
    </w:p>
    <w:p>
      <w:pPr>
        <w:spacing w:line="360" w:before="315" w:after="105" w:lineRule="auto"/>
        <w:ind w:left="-30"/>
        <w:jc w:val="left"/>
      </w:pPr>
      <w:bookmarkStart w:id="10" w:name="kategorie_c_nice_to_have"/>
      <w:r>
        <w:rPr>
          <w:rFonts w:eastAsia="georgia" w:cs="georgia" w:ascii="georgia" w:hAnsi="georgia"/>
          <w:b/>
          <w:color w:val="000000"/>
          <w:sz w:val="24"/>
        </w:rPr>
        <w:t xml:space="preserve">Kategorie C: Nice to Have</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Kernthema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Framework-Quelle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UNBOND-Modul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Abdeckungsgrad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Bewertung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Yoga als Trauma-Therapie (Van der Kolk)</w:t>
            </w:r>
          </w:p>
        </w:tc>
        <w:tc>
          <w:tcPr>
            <w:tcBorders>
              <w:top w:val="single" w:sz="1" w:space="0" w:color="000000"/>
              <w:bottom w:val="single" w:sz="1" w:space="0" w:color="000000"/>
              <w:right w:val="single" w:sz="1" w:space="0" w:color="000000"/>
            </w:tcBorders>
          </w:tcPr>
          <w:p>
            <w:pPr>
              <w:spacing w:line="360" w:lineRule="auto"/>
            </w:pPr>
            <w:hyperlink r:id="rId69">
              <w:r>
                <w:rPr>
                  <w:rFonts w:eastAsia="helvetica neue" w:cs="helvetica neue" w:ascii="helvetica neue" w:hAnsi="helvetica neue"/>
                  <w:color w:val="#000"/>
                  <w:sz w:val="17"/>
                  <w:u w:val="single"/>
                </w:rPr>
                <w:t xml:space="preserve">Van der Kolk 2014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Nicht integriert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 Narrative Exposure Therapy</w:t>
            </w:r>
          </w:p>
        </w:tc>
        <w:tc>
          <w:tcPr>
            <w:tcBorders>
              <w:top w:val="single" w:sz="1" w:space="0" w:color="000000"/>
              <w:bottom w:val="single" w:sz="1" w:space="0" w:color="000000"/>
              <w:right w:val="single" w:sz="1" w:space="0" w:color="000000"/>
            </w:tcBorders>
          </w:tcPr>
          <w:p>
            <w:pPr>
              <w:spacing w:line="360" w:lineRule="auto"/>
            </w:pPr>
            <w:hyperlink r:id="rId70">
              <w:r>
                <w:rPr>
                  <w:rFonts w:eastAsia="helvetica neue" w:cs="helvetica neue" w:ascii="helvetica neue" w:hAnsi="helvetica neue"/>
                  <w:color w:val="#000"/>
                  <w:sz w:val="17"/>
                  <w:u w:val="single"/>
                </w:rPr>
                <w:t xml:space="preserve">Schauer/Neuner/Elbert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Bonus B (geplant)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Schreibtherapie geplant; keine Lebensbaum-Übung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Journaling-Programme (Pennebaker)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Pennebaker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S03, S09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Diverse Journaling-Übungen im Programm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Minority Stress Framework (Meyer)</w:t>
            </w:r>
          </w:p>
        </w:tc>
        <w:tc>
          <w:tcPr>
            <w:tcBorders>
              <w:top w:val="single" w:sz="1" w:space="0" w:color="000000"/>
              <w:bottom w:val="single" w:sz="1" w:space="0" w:color="000000"/>
              <w:right w:val="single" w:sz="1" w:space="0" w:color="000000"/>
            </w:tcBorders>
          </w:tcPr>
          <w:p>
            <w:pPr>
              <w:spacing w:line="360" w:lineRule="auto"/>
            </w:pPr>
            <w:hyperlink r:id="rId71">
              <w:r>
                <w:rPr>
                  <w:rFonts w:eastAsia="helvetica neue" w:cs="helvetica neue" w:ascii="helvetica neue" w:hAnsi="helvetica neue"/>
                  <w:color w:val="#000"/>
                  <w:sz w:val="17"/>
                  <w:u w:val="single"/>
                </w:rPr>
                <w:t xml:space="preserve">Meyer 2003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Explizit als Deep Dive in Schritt 08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Internalisierte Homophobie bearbeiten</w:t>
            </w:r>
          </w:p>
        </w:tc>
        <w:tc>
          <w:tcPr>
            <w:tcBorders>
              <w:top w:val="single" w:sz="1" w:space="0" w:color="000000"/>
              <w:bottom w:val="single" w:sz="1" w:space="0" w:color="000000"/>
              <w:right w:val="single" w:sz="1" w:space="0" w:color="000000"/>
            </w:tcBorders>
          </w:tcPr>
          <w:p>
            <w:pPr>
              <w:spacing w:line="360" w:lineRule="auto"/>
            </w:pPr>
            <w:hyperlink r:id="rId72">
              <w:r>
                <w:rPr>
                  <w:rFonts w:eastAsia="helvetica neue" w:cs="helvetica neue" w:ascii="helvetica neue" w:hAnsi="helvetica neue"/>
                  <w:color w:val="#000"/>
                  <w:sz w:val="17"/>
                  <w:u w:val="single"/>
                </w:rPr>
                <w:t xml:space="preserve">Meyer</w:t>
              </w:r>
            </w:hyperlink>
            <w:r>
              <w:rPr>
                <w:rFonts w:eastAsia="helvetica neue" w:cs="helvetica neue" w:ascii="helvetica neue" w:hAnsi="helvetica neue"/>
                <w:color w:val="000000"/>
                <w:sz w:val="17"/>
              </w:rPr>
              <w:t xml:space="preserve">, </w:t>
            </w:r>
            <w:hyperlink r:id="rId73">
              <w:r>
                <w:rPr>
                  <w:rFonts w:eastAsia="helvetica neue" w:cs="helvetica neue" w:ascii="helvetica neue" w:hAnsi="helvetica neue"/>
                  <w:color w:val="#000"/>
                  <w:sz w:val="17"/>
                  <w:u w:val="single"/>
                </w:rPr>
                <w:t xml:space="preserve">Badenes-Ribera 2019</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S08 (partiell)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Als Kontext erwähnt; nicht als Übung ausgearbeitet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LGBTQ+-Community-Anbindung aktiv fördern</w:t>
            </w:r>
          </w:p>
        </w:tc>
        <w:tc>
          <w:tcPr>
            <w:tcBorders>
              <w:top w:val="single" w:sz="1" w:space="0" w:color="000000"/>
              <w:bottom w:val="single" w:sz="1" w:space="0" w:color="000000"/>
              <w:right w:val="single" w:sz="1" w:space="0" w:color="000000"/>
            </w:tcBorders>
          </w:tcPr>
          <w:p>
            <w:pPr>
              <w:spacing w:line="360" w:lineRule="auto"/>
            </w:pPr>
            <w:hyperlink r:id="rId74">
              <w:r>
                <w:rPr>
                  <w:rFonts w:eastAsia="helvetica neue" w:cs="helvetica neue" w:ascii="helvetica neue" w:hAnsi="helvetica neue"/>
                  <w:color w:val="#000"/>
                  <w:sz w:val="17"/>
                  <w:u w:val="single"/>
                </w:rPr>
                <w:t xml:space="preserve">Meyer</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Bonus E (geplant)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Geplant, noch nicht im Hauptprogramm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WLW-Fusionsdynamiken (Roth/Mencher)</w:t>
            </w:r>
          </w:p>
        </w:tc>
        <w:tc>
          <w:tcPr>
            <w:tcBorders>
              <w:top w:val="single" w:sz="1" w:space="0" w:color="000000"/>
              <w:bottom w:val="single" w:sz="1" w:space="0" w:color="000000"/>
              <w:right w:val="single" w:sz="1" w:space="0" w:color="000000"/>
            </w:tcBorders>
          </w:tcPr>
          <w:p>
            <w:pPr>
              <w:spacing w:line="360" w:lineRule="auto"/>
            </w:pPr>
            <w:hyperlink r:id="rId75">
              <w:r>
                <w:rPr>
                  <w:rFonts w:eastAsia="helvetica neue" w:cs="helvetica neue" w:ascii="helvetica neue" w:hAnsi="helvetica neue"/>
                  <w:color w:val="#000"/>
                  <w:sz w:val="17"/>
                  <w:u w:val="single"/>
                </w:rPr>
                <w:t xml:space="preserve">Roth 1985</w:t>
              </w:r>
            </w:hyperlink>
            <w:r>
              <w:rPr>
                <w:rFonts w:eastAsia="helvetica neue" w:cs="helvetica neue" w:ascii="helvetica neue" w:hAnsi="helvetica neue"/>
                <w:color w:val="000000"/>
                <w:sz w:val="17"/>
              </w:rPr>
              <w:t xml:space="preserve">, </w:t>
            </w:r>
            <w:hyperlink r:id="rId76">
              <w:r>
                <w:rPr>
                  <w:rFonts w:eastAsia="helvetica neue" w:cs="helvetica neue" w:ascii="helvetica neue" w:hAnsi="helvetica neue"/>
                  <w:color w:val="#000"/>
                  <w:sz w:val="17"/>
                  <w:u w:val="single"/>
                </w:rPr>
                <w:t xml:space="preserve">Mencher 1990</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Boundary Dissolution erwähnt; Fusionsphasen nicht thematisiert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Pharmakologische Unterstützung (Psychiater)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APA 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 (partiell)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Teilweise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Erwähnt als Möglichkeit; kein Modul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Schlaf-Hygiene als Recovery-Faktor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Allgemein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Nicht adressiert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Berufliche / Finanzielle Wiederherstellung</w:t>
            </w:r>
          </w:p>
        </w:tc>
        <w:tc>
          <w:tcPr>
            <w:tcBorders>
              <w:top w:val="single" w:sz="1" w:space="0" w:color="000000"/>
              <w:bottom w:val="single" w:sz="1" w:space="0" w:color="000000"/>
              <w:right w:val="single" w:sz="1" w:space="0" w:color="000000"/>
            </w:tcBorders>
          </w:tcPr>
          <w:p>
            <w:pPr>
              <w:spacing w:line="360" w:lineRule="auto"/>
            </w:pPr>
            <w:hyperlink r:id="rId77">
              <w:r>
                <w:rPr>
                  <w:rFonts w:eastAsia="helvetica neue" w:cs="helvetica neue" w:ascii="helvetica neue" w:hAnsi="helvetica neue"/>
                  <w:color w:val="#000"/>
                  <w:sz w:val="17"/>
                  <w:u w:val="single"/>
                </w:rPr>
                <w:t xml:space="preserve">Thomas Stufe 5</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Nicht adressiert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Rechtliche Ressourcen / Schutzanordnungen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APA 2024 / </w:t>
            </w:r>
            <w:hyperlink r:id="rId78">
              <w:r>
                <w:rPr>
                  <w:rFonts w:eastAsia="helvetica neue" w:cs="helvetica neue" w:ascii="helvetica neue" w:hAnsi="helvetica neue"/>
                  <w:color w:val="#000"/>
                  <w:sz w:val="17"/>
                  <w:u w:val="single"/>
                </w:rPr>
                <w:t xml:space="preserve">Bancroft</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Fehlt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Fehlt vollständig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identifizierte_lücken"/>
      <w:r>
        <w:rPr>
          <w:rFonts w:eastAsia="georgia" w:cs="georgia" w:ascii="georgia" w:hAnsi="georgia"/>
          <w:b/>
          <w:color w:val="000000"/>
          <w:sz w:val="24"/>
        </w:rPr>
        <w:t xml:space="preserve">Identifizierte Lücken</w:t>
      </w:r>
      <w:bookmarkEnd w:id="11"/>
    </w:p>
    <w:p>
      <w:pPr>
        <w:spacing w:line="360" w:before="315" w:after="105" w:lineRule="auto"/>
        <w:ind w:left="-30"/>
        <w:jc w:val="left"/>
      </w:pPr>
      <w:bookmarkStart w:id="12" w:name="lücke_1_behördeneinsatz_als_trauma_waffe"/>
      <w:r>
        <w:rPr>
          <w:rFonts w:eastAsia="georgia" w:cs="georgia" w:ascii="georgia" w:hAnsi="georgia"/>
          <w:b/>
          <w:color w:val="000000"/>
          <w:sz w:val="24"/>
        </w:rPr>
        <w:t xml:space="preserve">Lücke 1: Behördeneinsatz als Trauma-Waffe</w:t>
      </w:r>
      <w:bookmarkEnd w:id="12"/>
    </w:p>
    <w:p>
      <w:pPr>
        <w:numPr>
          <w:ilvl w:val="0"/>
          <w:numId w:val="4"/>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79">
        <w:r>
          <w:rPr>
            <w:rFonts w:eastAsia="helvetica neue" w:cs="helvetica neue" w:ascii="helvetica neue" w:hAnsi="helvetica neue"/>
            <w:color w:val="#000"/>
            <w:sz w:val="21"/>
            <w:u w:val="single"/>
          </w:rPr>
          <w:t xml:space="preserve">Bancroft (2002) – Täterpsychologie</w:t>
        </w:r>
      </w:hyperlink>
      <w:r>
        <w:rPr>
          <w:rFonts w:eastAsia="georgia" w:cs="georgia" w:ascii="georgia" w:hAnsi="georgia"/>
          <w:color w:val="000000"/>
          <w:sz w:val="21"/>
        </w:rPr>
        <w:t xml:space="preserve"> (Behörden als Kontrollwerkzeug); </w:t>
      </w:r>
      <w:hyperlink r:id="rId80">
        <w:r>
          <w:rPr>
            <w:rFonts w:eastAsia="helvetica neue" w:cs="helvetica neue" w:ascii="helvetica neue" w:hAnsi="helvetica neue"/>
            <w:color w:val="#000"/>
            <w:sz w:val="21"/>
            <w:u w:val="single"/>
          </w:rPr>
          <w:t xml:space="preserve">APA 2024 Guideline C6</w:t>
        </w:r>
      </w:hyperlink>
      <w:r>
        <w:rPr>
          <w:rFonts w:eastAsia="georgia" w:cs="georgia" w:ascii="georgia" w:hAnsi="georgia"/>
          <w:color w:val="000000"/>
          <w:sz w:val="21"/>
        </w:rPr>
        <w:t xml:space="preserve"> (rechtliche Ressourcen); </w:t>
      </w:r>
      <w:hyperlink r:id="rId81">
        <w:r>
          <w:rPr>
            <w:rFonts w:eastAsia="helvetica neue" w:cs="helvetica neue" w:ascii="helvetica neue" w:hAnsi="helvetica neue"/>
            <w:color w:val="#000"/>
            <w:sz w:val="21"/>
            <w:u w:val="single"/>
          </w:rPr>
          <w:t xml:space="preserve">r/lesbianabusesurvivors Community-Dokumentation</w:t>
        </w:r>
      </w:hyperlink>
    </w:p>
    <w:p>
      <w:pPr>
        <w:numPr>
          <w:ilvl w:val="0"/>
          <w:numId w:val="4"/>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Komplett absent. Weder im Hauptprogramm noch in geplanten Bonusmodulen explizit adressiert; Bonus D (Forensische Dokumentation) ist konzipiert, aber nicht ausgearbeitet.</w:t>
      </w:r>
    </w:p>
    <w:p>
      <w:pPr>
        <w:numPr>
          <w:ilvl w:val="0"/>
          <w:numId w:val="4"/>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Psychoedukation zu Behördeneinsatz (Polizei, Jugendamt, Anwaltsbriefe) als Missbrauchstaktik; Dokumentations-Strategie vor Eskalation; Handlungsplan wenn rechtliche Schritte drohen; Ressourcenliste für Beratungsstellen; Abgrenzung zwischen Selbstschutz und Konfrontation.</w:t>
      </w:r>
    </w:p>
    <w:p>
      <w:pPr>
        <w:numPr>
          <w:ilvl w:val="0"/>
          <w:numId w:val="4"/>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HOCH – Existenzielle Sicherheit für Betroffene mit Kindern oder laufenden Verfahren</w:t>
      </w:r>
    </w:p>
    <w:p>
      <w:pPr>
        <w:numPr>
          <w:ilvl w:val="0"/>
          <w:numId w:val="4"/>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Bonus D (Forensische Dokumentation) ausarbeiten; Kernelemente in Kap. 0.4 (kPTBS-Sektion) integrieren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lücke_2_digitale_manipulation_blo_5764e3"/>
      <w:r>
        <w:rPr>
          <w:rFonts w:eastAsia="georgia" w:cs="georgia" w:ascii="georgia" w:hAnsi="georgia"/>
          <w:b/>
          <w:color w:val="000000"/>
          <w:sz w:val="24"/>
        </w:rPr>
        <w:t xml:space="preserve">Lücke 2: Digitale Manipulation – Blockade-Psychologie</w:t>
      </w:r>
      <w:bookmarkEnd w:id="13"/>
    </w:p>
    <w:p>
      <w:pPr>
        <w:numPr>
          <w:ilvl w:val="0"/>
          <w:numId w:val="5"/>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82">
        <w:r>
          <w:rPr>
            <w:rFonts w:eastAsia="helvetica neue" w:cs="helvetica neue" w:ascii="helvetica neue" w:hAnsi="helvetica neue"/>
            <w:color w:val="#000"/>
            <w:sz w:val="21"/>
            <w:u w:val="single"/>
          </w:rPr>
          <w:t xml:space="preserve">Arabi – HSP Recovery</w:t>
        </w:r>
      </w:hyperlink>
      <w:r>
        <w:rPr>
          <w:rFonts w:eastAsia="georgia" w:cs="georgia" w:ascii="georgia" w:hAnsi="georgia"/>
          <w:color w:val="000000"/>
          <w:sz w:val="21"/>
        </w:rPr>
        <w:t xml:space="preserve"> (digitales Hoovering); </w:t>
      </w:r>
      <w:hyperlink r:id="rId83">
        <w:r>
          <w:rPr>
            <w:rFonts w:eastAsia="helvetica neue" w:cs="helvetica neue" w:ascii="helvetica neue" w:hAnsi="helvetica neue"/>
            <w:color w:val="#000"/>
            <w:sz w:val="21"/>
            <w:u w:val="single"/>
          </w:rPr>
          <w:t xml:space="preserve">Bancroft</w:t>
        </w:r>
      </w:hyperlink>
      <w:r>
        <w:rPr>
          <w:rFonts w:eastAsia="georgia" w:cs="georgia" w:ascii="georgia" w:hAnsi="georgia"/>
          <w:color w:val="000000"/>
          <w:sz w:val="21"/>
        </w:rPr>
        <w:t xml:space="preserve"> (Kontrollverhalten); </w:t>
      </w:r>
      <w:hyperlink r:id="rId84">
        <w:r>
          <w:rPr>
            <w:rFonts w:eastAsia="helvetica neue" w:cs="helvetica neue" w:ascii="helvetica neue" w:hAnsi="helvetica neue"/>
            <w:color w:val="#000"/>
            <w:sz w:val="21"/>
            <w:u w:val="single"/>
          </w:rPr>
          <w:t xml:space="preserve">r/actuallesbians Community-Daten</w:t>
        </w:r>
      </w:hyperlink>
      <w:r>
        <w:rPr>
          <w:rFonts w:eastAsia="georgia" w:cs="georgia" w:ascii="georgia" w:hAnsi="georgia"/>
          <w:color w:val="000000"/>
          <w:sz w:val="21"/>
        </w:rPr>
        <w:t xml:space="preserve">; Checklisten-Punkt A3.4</w:t>
      </w:r>
    </w:p>
    <w:p>
      <w:pPr>
        <w:numPr>
          <w:ilvl w:val="0"/>
          <w:numId w:val="5"/>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Schritt 04 enthält eine „Digitale Kontakt-Inventur", aber das bewusst eingesetzte Blockieren/Unblockieren als psychologisches Kontrollinstrument ist nicht thematisiert. Trigger durch digitale Signale (Emojis, Likes, Story-Aufrufe) sind in Schritt 05 nicht explizit adressiert.</w:t>
      </w:r>
    </w:p>
    <w:p>
      <w:pPr>
        <w:numPr>
          <w:ilvl w:val="0"/>
          <w:numId w:val="5"/>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Erklärung der Blockade-Psychologie als Kontrolldemonstration; Übung zur Mustererkennung (Blockade-Tracker); Nicht-Reagieren-Protokoll mit 48h-Wartefenster; Deaktivierung von Social-Media-Benachrichtigungen als Recovery-Tool.</w:t>
      </w:r>
    </w:p>
    <w:p>
      <w:pPr>
        <w:numPr>
          <w:ilvl w:val="0"/>
          <w:numId w:val="5"/>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HOCH – Häufig gemeldetes Trigger-Muster in WLW-Communities</w:t>
      </w:r>
    </w:p>
    <w:p>
      <w:pPr>
        <w:numPr>
          <w:ilvl w:val="0"/>
          <w:numId w:val="5"/>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Schritt 04 oder Schritt 05 erweitern (Digitale Sicherheitssektion)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lücke_3_scham_um_sucht_und_adhs_i_78c7b5"/>
      <w:r>
        <w:rPr>
          <w:rFonts w:eastAsia="georgia" w:cs="georgia" w:ascii="georgia" w:hAnsi="georgia"/>
          <w:b/>
          <w:color w:val="000000"/>
          <w:sz w:val="24"/>
        </w:rPr>
        <w:t xml:space="preserve">Lücke 3: Scham um Sucht und ADHS in toxischer Beziehung</w:t>
      </w:r>
      <w:bookmarkEnd w:id="14"/>
    </w:p>
    <w:p>
      <w:pPr>
        <w:numPr>
          <w:ilvl w:val="0"/>
          <w:numId w:val="6"/>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85">
        <w:r>
          <w:rPr>
            <w:rFonts w:eastAsia="helvetica neue" w:cs="helvetica neue" w:ascii="helvetica neue" w:hAnsi="helvetica neue"/>
            <w:color w:val="#000"/>
            <w:sz w:val="21"/>
            <w:u w:val="single"/>
          </w:rPr>
          <w:t xml:space="preserve">Mellody 1992 – Co-Abhängigkeit und Scham</w:t>
        </w:r>
      </w:hyperlink>
      <w:r>
        <w:rPr>
          <w:rFonts w:eastAsia="georgia" w:cs="georgia" w:ascii="georgia" w:hAnsi="georgia"/>
          <w:color w:val="000000"/>
          <w:sz w:val="21"/>
        </w:rPr>
        <w:t xml:space="preserve">; </w:t>
      </w:r>
      <w:hyperlink r:id="rId86">
        <w:r>
          <w:rPr>
            <w:rFonts w:eastAsia="helvetica neue" w:cs="helvetica neue" w:ascii="helvetica neue" w:hAnsi="helvetica neue"/>
            <w:color w:val="#000"/>
            <w:sz w:val="21"/>
            <w:u w:val="single"/>
          </w:rPr>
          <w:t xml:space="preserve">Carnes – Scham als Suchtzyklus-Element</w:t>
        </w:r>
      </w:hyperlink>
      <w:r>
        <w:rPr>
          <w:rFonts w:eastAsia="georgia" w:cs="georgia" w:ascii="georgia" w:hAnsi="georgia"/>
          <w:color w:val="000000"/>
          <w:sz w:val="21"/>
        </w:rPr>
        <w:t xml:space="preserve">; </w:t>
      </w:r>
      <w:hyperlink r:id="rId87">
        <w:r>
          <w:rPr>
            <w:rFonts w:eastAsia="helvetica neue" w:cs="helvetica neue" w:ascii="helvetica neue" w:hAnsi="helvetica neue"/>
            <w:color w:val="#000"/>
            <w:sz w:val="21"/>
            <w:u w:val="single"/>
          </w:rPr>
          <w:t xml:space="preserve">CFT Gilbert – Schamreduktion</w:t>
        </w:r>
      </w:hyperlink>
      <w:r>
        <w:rPr>
          <w:rFonts w:eastAsia="georgia" w:cs="georgia" w:ascii="georgia" w:hAnsi="georgia"/>
          <w:color w:val="000000"/>
          <w:sz w:val="21"/>
        </w:rPr>
        <w:t xml:space="preserve">; Checklisten-Punkt B4</w:t>
      </w:r>
    </w:p>
    <w:p>
      <w:pPr>
        <w:numPr>
          <w:ilvl w:val="0"/>
          <w:numId w:val="6"/>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Schritt 09 enthält eine Scham-Inventur im Kontext von Reactive Abuse. Die spezifische Scham um Suchtvergangenheit oder ADHS-Diagnose – und wie Täterinnen dieses Wissen als Waffe einsetzen – ist nicht thematisiert.</w:t>
      </w:r>
    </w:p>
    <w:p>
      <w:pPr>
        <w:numPr>
          <w:ilvl w:val="0"/>
          <w:numId w:val="6"/>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Psychoedukation zu „Weaponized Diagnosis" (Täter nutzen ADHS/Sucht-Geschichte als Kontrollinstrument); Selbstmitgefühl-Übung für Substanzgeschichte; Trennung von eigener Heilungsgeschichte und Täter-Narrativ; Clean-Narrative-Übung.</w:t>
      </w:r>
    </w:p>
    <w:p>
      <w:pPr>
        <w:numPr>
          <w:ilvl w:val="0"/>
          <w:numId w:val="6"/>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MITTEL – Hochrelevant für Überlebende mit komorbiden Diagnosen oder Suchtgeschichte</w:t>
      </w:r>
    </w:p>
    <w:p>
      <w:pPr>
        <w:numPr>
          <w:ilvl w:val="0"/>
          <w:numId w:val="6"/>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Schritt 09 (Bindungsmuster &amp; Inneres Kind) erweitern, Unterkapitel 9.2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lücke_4_szene_dynamiken_und_small_a4ab41"/>
      <w:r>
        <w:rPr>
          <w:rFonts w:eastAsia="georgia" w:cs="georgia" w:ascii="georgia" w:hAnsi="georgia"/>
          <w:b/>
          <w:color w:val="000000"/>
          <w:sz w:val="24"/>
        </w:rPr>
        <w:t xml:space="preserve">Lücke 4: Szene-Dynamiken und Small-Pool-Überlegenheit</w:t>
      </w:r>
      <w:bookmarkEnd w:id="15"/>
    </w:p>
    <w:p>
      <w:pPr>
        <w:numPr>
          <w:ilvl w:val="0"/>
          <w:numId w:val="7"/>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88">
        <w:r>
          <w:rPr>
            <w:rFonts w:eastAsia="helvetica neue" w:cs="helvetica neue" w:ascii="helvetica neue" w:hAnsi="helvetica neue"/>
            <w:color w:val="#000"/>
            <w:sz w:val="21"/>
            <w:u w:val="single"/>
          </w:rPr>
          <w:t xml:space="preserve">Meyer – Minority Stress</w:t>
        </w:r>
      </w:hyperlink>
      <w:r>
        <w:rPr>
          <w:rFonts w:eastAsia="georgia" w:cs="georgia" w:ascii="georgia" w:hAnsi="georgia"/>
          <w:color w:val="000000"/>
          <w:sz w:val="21"/>
        </w:rPr>
        <w:t xml:space="preserve"> (Community als Stressor und Schutzfaktor); </w:t>
      </w:r>
      <w:hyperlink r:id="rId89">
        <w:r>
          <w:rPr>
            <w:rFonts w:eastAsia="helvetica neue" w:cs="helvetica neue" w:ascii="helvetica neue" w:hAnsi="helvetica neue"/>
            <w:color w:val="#000"/>
            <w:sz w:val="21"/>
            <w:u w:val="single"/>
          </w:rPr>
          <w:t xml:space="preserve">Roth 1985 – Fusion</w:t>
        </w:r>
      </w:hyperlink>
      <w:r>
        <w:rPr>
          <w:rFonts w:eastAsia="georgia" w:cs="georgia" w:ascii="georgia" w:hAnsi="georgia"/>
          <w:color w:val="000000"/>
          <w:sz w:val="21"/>
        </w:rPr>
        <w:t xml:space="preserve">; </w:t>
      </w:r>
      <w:hyperlink r:id="rId90">
        <w:r>
          <w:rPr>
            <w:rFonts w:eastAsia="helvetica neue" w:cs="helvetica neue" w:ascii="helvetica neue" w:hAnsi="helvetica neue"/>
            <w:color w:val="#000"/>
            <w:sz w:val="21"/>
            <w:u w:val="single"/>
          </w:rPr>
          <w:t xml:space="preserve">r/actuallesbians Small-Pool-Diskussion</w:t>
        </w:r>
      </w:hyperlink>
    </w:p>
    <w:p>
      <w:pPr>
        <w:numPr>
          <w:ilvl w:val="0"/>
          <w:numId w:val="7"/>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Schritt 08 adressiert WLW-Dynamiken und Community Boundaries mit Grey-Rock-Protokoll. Die spezifische Verletzung durch Szene-Exklusion (Täter dominiert die Community, Überlebende fühlen sich aus ihrer eigenen Szene verdrängt) ist zu oberflächlich behandelt.</w:t>
      </w:r>
    </w:p>
    <w:p>
      <w:pPr>
        <w:numPr>
          <w:ilvl w:val="0"/>
          <w:numId w:val="7"/>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Szene-Analyse-Tool (eigene Triggerorte kartieren); Strategie für alternative Community-Räume; Skript für ungewollte Begegnungen; Ersetzbarkeits-Mythos in Community-Kontext dekonstruieren; U-Haul-Timeline-Fusion-Reflexion.</w:t>
      </w:r>
    </w:p>
    <w:p>
      <w:pPr>
        <w:numPr>
          <w:ilvl w:val="0"/>
          <w:numId w:val="7"/>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MITTEL – Besonders relevant im lesbischen Kleinstadtkontext</w:t>
      </w:r>
    </w:p>
    <w:p>
      <w:pPr>
        <w:numPr>
          <w:ilvl w:val="0"/>
          <w:numId w:val="7"/>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Schritt 08 erheblich erweitern (Unterkapitel 8.3 neu)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lücke_5_doppelstandard_integratio_919336"/>
      <w:r>
        <w:rPr>
          <w:rFonts w:eastAsia="georgia" w:cs="georgia" w:ascii="georgia" w:hAnsi="georgia"/>
          <w:b/>
          <w:color w:val="000000"/>
          <w:sz w:val="24"/>
        </w:rPr>
        <w:t xml:space="preserve">Lücke 5: Doppelstandard-Integration und Ersetzbarkeit</w:t>
      </w:r>
      <w:bookmarkEnd w:id="16"/>
    </w:p>
    <w:p>
      <w:pPr>
        <w:numPr>
          <w:ilvl w:val="0"/>
          <w:numId w:val="8"/>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91">
        <w:r>
          <w:rPr>
            <w:rFonts w:eastAsia="helvetica neue" w:cs="helvetica neue" w:ascii="helvetica neue" w:hAnsi="helvetica neue"/>
            <w:color w:val="#000"/>
            <w:sz w:val="21"/>
            <w:u w:val="single"/>
          </w:rPr>
          <w:t xml:space="preserve">Durvasula – Disenfranchised Grief</w:t>
        </w:r>
      </w:hyperlink>
      <w:r>
        <w:rPr>
          <w:rFonts w:eastAsia="georgia" w:cs="georgia" w:ascii="georgia" w:hAnsi="georgia"/>
          <w:color w:val="000000"/>
          <w:sz w:val="21"/>
        </w:rPr>
        <w:t xml:space="preserve"> (Verlust wird gesellschaftlich nicht anerkannt); </w:t>
      </w:r>
      <w:hyperlink r:id="rId92">
        <w:r>
          <w:rPr>
            <w:rFonts w:eastAsia="helvetica neue" w:cs="helvetica neue" w:ascii="helvetica neue" w:hAnsi="helvetica neue"/>
            <w:color w:val="#000"/>
            <w:sz w:val="21"/>
            <w:u w:val="single"/>
          </w:rPr>
          <w:t xml:space="preserve">Malkin – Echoismus</w:t>
        </w:r>
      </w:hyperlink>
      <w:r>
        <w:rPr>
          <w:rFonts w:eastAsia="georgia" w:cs="georgia" w:ascii="georgia" w:hAnsi="georgia"/>
          <w:color w:val="000000"/>
          <w:sz w:val="21"/>
        </w:rPr>
        <w:t xml:space="preserve"> (Selbstauslöschung ermöglicht Doppelstandard); </w:t>
      </w:r>
      <w:hyperlink r:id="rId93">
        <w:r>
          <w:rPr>
            <w:rFonts w:eastAsia="helvetica neue" w:cs="helvetica neue" w:ascii="helvetica neue" w:hAnsi="helvetica neue"/>
            <w:color w:val="#000"/>
            <w:sz w:val="21"/>
            <w:u w:val="single"/>
          </w:rPr>
          <w:t xml:space="preserve">r/LesbianActually Community-Thread</w:t>
        </w:r>
      </w:hyperlink>
    </w:p>
    <w:p>
      <w:pPr>
        <w:numPr>
          <w:ilvl w:val="0"/>
          <w:numId w:val="8"/>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Schritt 03 enthält einen Podest-Analyse-Ansatz. Die spezifische Kränkung „sie macht mit der Neuen, was sie mir verweigert hat" ist in Schritt 03 nur implizit (Ersetzbarkeits-Mythos entlarven in Schritt 08 als Übung vorhanden).</w:t>
      </w:r>
    </w:p>
    <w:p>
      <w:pPr>
        <w:numPr>
          <w:ilvl w:val="0"/>
          <w:numId w:val="8"/>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Doppelstandard-Realitäts-Check (3-Spalten-Tool: Was hat sie mir verweigert / Was macht sie jetzt / Das ist nicht meine Schuld); Trennung zwischen Täter-Muster und eigenem Wert; Disenfranchised Grief für diese spezifische Verletzung.</w:t>
      </w:r>
    </w:p>
    <w:p>
      <w:pPr>
        <w:numPr>
          <w:ilvl w:val="0"/>
          <w:numId w:val="8"/>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MITTEL – Häufig schmerzlichste Wunde in der Post-Trennungsphase</w:t>
      </w:r>
    </w:p>
    <w:p>
      <w:pPr>
        <w:numPr>
          <w:ilvl w:val="0"/>
          <w:numId w:val="8"/>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Schritt 03 oder Schritt 09 erweitern (Unterkapitel)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lücke_6_gaslighting_gegenmittel_i_1330df"/>
      <w:r>
        <w:rPr>
          <w:rFonts w:eastAsia="georgia" w:cs="georgia" w:ascii="georgia" w:hAnsi="georgia"/>
          <w:b/>
          <w:color w:val="000000"/>
          <w:sz w:val="24"/>
        </w:rPr>
        <w:t xml:space="preserve">Lücke 6: Gaslighting-Gegenmittel im Alltag</w:t>
      </w:r>
      <w:bookmarkEnd w:id="17"/>
    </w:p>
    <w:p>
      <w:pPr>
        <w:numPr>
          <w:ilvl w:val="0"/>
          <w:numId w:val="9"/>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94">
        <w:r>
          <w:rPr>
            <w:rFonts w:eastAsia="helvetica neue" w:cs="helvetica neue" w:ascii="helvetica neue" w:hAnsi="helvetica neue"/>
            <w:color w:val="#000"/>
            <w:sz w:val="21"/>
            <w:u w:val="single"/>
          </w:rPr>
          <w:t xml:space="preserve">Bancroft 2002</w:t>
        </w:r>
      </w:hyperlink>
      <w:r>
        <w:rPr>
          <w:rFonts w:eastAsia="georgia" w:cs="georgia" w:ascii="georgia" w:hAnsi="georgia"/>
          <w:color w:val="000000"/>
          <w:sz w:val="21"/>
        </w:rPr>
        <w:t xml:space="preserve"> (Gaslighting als willentliche Taktik); </w:t>
      </w:r>
      <w:hyperlink r:id="rId95">
        <w:r>
          <w:rPr>
            <w:rFonts w:eastAsia="helvetica neue" w:cs="helvetica neue" w:ascii="helvetica neue" w:hAnsi="helvetica neue"/>
            <w:color w:val="#000"/>
            <w:sz w:val="21"/>
            <w:u w:val="single"/>
          </w:rPr>
          <w:t xml:space="preserve">Durvasula – Gaslighting Recovery</w:t>
        </w:r>
      </w:hyperlink>
      <w:r>
        <w:rPr>
          <w:rFonts w:eastAsia="georgia" w:cs="georgia" w:ascii="georgia" w:hAnsi="georgia"/>
          <w:color w:val="000000"/>
          <w:sz w:val="21"/>
        </w:rPr>
        <w:t xml:space="preserve">; </w:t>
      </w:r>
      <w:hyperlink r:id="rId96">
        <w:r>
          <w:rPr>
            <w:rFonts w:eastAsia="helvetica neue" w:cs="helvetica neue" w:ascii="helvetica neue" w:hAnsi="helvetica neue"/>
            <w:color w:val="#000"/>
            <w:sz w:val="21"/>
            <w:u w:val="single"/>
          </w:rPr>
          <w:t xml:space="preserve">r/latebloomerlesbians Community-Daten</w:t>
        </w:r>
      </w:hyperlink>
    </w:p>
    <w:p>
      <w:pPr>
        <w:numPr>
          <w:ilvl w:val="0"/>
          <w:numId w:val="9"/>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Schritt 03 bietet ein Gaslighting-Log und einen 4-Spalten-Realitäts-Check. Für laufende Gaslighting-Momente – d.h. In-the-moment-Entscheidungen – fehlen spezifische Werkzeuge.</w:t>
      </w:r>
    </w:p>
    <w:p>
      <w:pPr>
        <w:numPr>
          <w:ilvl w:val="0"/>
          <w:numId w:val="9"/>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Real-time Gaslighting-Protokoll (3-Schritt-Modell: Nicht erklären, Notieren, Roten-Kreuz-Stop); Wahrnehmungs-Anker-Übung (tagesaktuelle Notizen als Gegenbeleg); Psychoedukation zu Erklärungsschleifen (warum Beweisen nie hilft); Radical Acceptance für Gaslighting-Nachfolgebelastung.</w:t>
      </w:r>
    </w:p>
    <w:p>
      <w:pPr>
        <w:numPr>
          <w:ilvl w:val="0"/>
          <w:numId w:val="9"/>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MITTEL – Direkt betroffen in der No-Contact-Phase (Hoovering-Briefe, Nachrichten)</w:t>
      </w:r>
    </w:p>
    <w:p>
      <w:pPr>
        <w:numPr>
          <w:ilvl w:val="0"/>
          <w:numId w:val="9"/>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Schritt 03 erweitern (Unterkapitel 3.5 „Gaslighting-Notbremse")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lücke_7_breadcrumbing_als_fortges_d886d4"/>
      <w:r>
        <w:rPr>
          <w:rFonts w:eastAsia="georgia" w:cs="georgia" w:ascii="georgia" w:hAnsi="georgia"/>
          <w:b/>
          <w:color w:val="000000"/>
          <w:sz w:val="24"/>
        </w:rPr>
        <w:t xml:space="preserve">Lücke 7: Breadcrumbing als fortgesetzte Manipulation</w:t>
      </w:r>
      <w:bookmarkEnd w:id="18"/>
    </w:p>
    <w:p>
      <w:pPr>
        <w:numPr>
          <w:ilvl w:val="0"/>
          <w:numId w:val="10"/>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97">
        <w:r>
          <w:rPr>
            <w:rFonts w:eastAsia="helvetica neue" w:cs="helvetica neue" w:ascii="helvetica neue" w:hAnsi="helvetica neue"/>
            <w:color w:val="#000"/>
            <w:sz w:val="21"/>
            <w:u w:val="single"/>
          </w:rPr>
          <w:t xml:space="preserve">Arabi – Neurobiologie des Trauma-Bondings</w:t>
        </w:r>
      </w:hyperlink>
      <w:r>
        <w:rPr>
          <w:rFonts w:eastAsia="georgia" w:cs="georgia" w:ascii="georgia" w:hAnsi="georgia"/>
          <w:color w:val="000000"/>
          <w:sz w:val="21"/>
        </w:rPr>
        <w:t xml:space="preserve"> (Hoovering); </w:t>
      </w:r>
      <w:hyperlink r:id="rId98">
        <w:r>
          <w:rPr>
            <w:rFonts w:eastAsia="helvetica neue" w:cs="helvetica neue" w:ascii="helvetica neue" w:hAnsi="helvetica neue"/>
            <w:color w:val="#000"/>
            <w:sz w:val="21"/>
            <w:u w:val="single"/>
          </w:rPr>
          <w:t xml:space="preserve">Fisher – Attraction-System bleibt aktiv</w:t>
        </w:r>
      </w:hyperlink>
      <w:r>
        <w:rPr>
          <w:rFonts w:eastAsia="georgia" w:cs="georgia" w:ascii="georgia" w:hAnsi="georgia"/>
          <w:color w:val="000000"/>
          <w:sz w:val="21"/>
        </w:rPr>
        <w:t xml:space="preserve">; </w:t>
      </w:r>
      <w:hyperlink r:id="rId99">
        <w:r>
          <w:rPr>
            <w:rFonts w:eastAsia="helvetica neue" w:cs="helvetica neue" w:ascii="helvetica neue" w:hAnsi="helvetica neue"/>
            <w:color w:val="#000"/>
            <w:sz w:val="21"/>
            <w:u w:val="single"/>
          </w:rPr>
          <w:t xml:space="preserve">TikTok WLW Community</w:t>
        </w:r>
      </w:hyperlink>
    </w:p>
    <w:p>
      <w:pPr>
        <w:numPr>
          <w:ilvl w:val="0"/>
          <w:numId w:val="10"/>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Schritt 04 enthält einen No-Contact-Kontrakt, Schritt 07 eine Rückfall-Ampel. Breadcrumbing als eigenständiges Manipulationsmuster nach Trennung (minimale Signale, die Hoffnung reaktivieren) ist nicht als Konzept benannt.</w:t>
      </w:r>
    </w:p>
    <w:p>
      <w:pPr>
        <w:numPr>
          <w:ilvl w:val="0"/>
          <w:numId w:val="10"/>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Definition und Psychoedukation zu Breadcrumbing; Breadcrumb-Tagebuch-Übung; Stimulus-Reaktions-Unterbrecher (24h-Pause-Protokoll); Erklärung des Hoovering-Mechanismus als Test für Verfügbarkeit; Unterscheidung von echtem Kontaktwunsch und Kontrolldemonstrationen.</w:t>
      </w:r>
    </w:p>
    <w:p>
      <w:pPr>
        <w:numPr>
          <w:ilvl w:val="0"/>
          <w:numId w:val="10"/>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HOCH – Häufigster Rückfallauslöser nach No-Contact-Entscheidung</w:t>
      </w:r>
    </w:p>
    <w:p>
      <w:pPr>
        <w:numPr>
          <w:ilvl w:val="0"/>
          <w:numId w:val="10"/>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Schritt 04 erweitern (Unterkapitel 4.2 „Breadcrumbing") oder eigenständiges Modul zwischen S04 und S05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lücke_8_schema_therapie_kindheits_c7786e"/>
      <w:r>
        <w:rPr>
          <w:rFonts w:eastAsia="georgia" w:cs="georgia" w:ascii="georgia" w:hAnsi="georgia"/>
          <w:b/>
          <w:color w:val="000000"/>
          <w:sz w:val="24"/>
        </w:rPr>
        <w:t xml:space="preserve">Lücke 8: Schema-Therapie – Kindheitswurzeln der Vulnerabilität</w:t>
      </w:r>
      <w:bookmarkEnd w:id="19"/>
    </w:p>
    <w:p>
      <w:pPr>
        <w:numPr>
          <w:ilvl w:val="0"/>
          <w:numId w:val="11"/>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100">
        <w:r>
          <w:rPr>
            <w:rFonts w:eastAsia="helvetica neue" w:cs="helvetica neue" w:ascii="helvetica neue" w:hAnsi="helvetica neue"/>
            <w:color w:val="#000"/>
            <w:sz w:val="21"/>
            <w:u w:val="single"/>
          </w:rPr>
          <w:t xml:space="preserve">Young Schema-Therapie</w:t>
        </w:r>
      </w:hyperlink>
      <w:r>
        <w:rPr>
          <w:rFonts w:eastAsia="georgia" w:cs="georgia" w:ascii="georgia" w:hAnsi="georgia"/>
          <w:color w:val="000000"/>
          <w:sz w:val="21"/>
        </w:rPr>
        <w:t xml:space="preserve"> (Frühe Maladaptive Schemata – EMS); </w:t>
      </w:r>
      <w:hyperlink r:id="rId101">
        <w:r>
          <w:rPr>
            <w:rFonts w:eastAsia="helvetica neue" w:cs="helvetica neue" w:ascii="helvetica neue" w:hAnsi="helvetica neue"/>
            <w:color w:val="#000"/>
            <w:sz w:val="21"/>
            <w:u w:val="single"/>
          </w:rPr>
          <w:t xml:space="preserve">Mellody – Reparenting</w:t>
        </w:r>
      </w:hyperlink>
      <w:r>
        <w:rPr>
          <w:rFonts w:eastAsia="georgia" w:cs="georgia" w:ascii="georgia" w:hAnsi="georgia"/>
          <w:color w:val="000000"/>
          <w:sz w:val="21"/>
        </w:rPr>
        <w:t xml:space="preserve">; Checklisten-Punkte B2.1–B2.4</w:t>
      </w:r>
    </w:p>
    <w:p>
      <w:pPr>
        <w:numPr>
          <w:ilvl w:val="0"/>
          <w:numId w:val="11"/>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Schritt 09 arbeitet mit dem Inneren Kind und erwähnt frühe Bindungsmuster. Die systematische Arbeit mit frühen maladaptiven Schemata (Verlassenheit, Misstrauen, Unterwerfung – warum das Verlassenheits-Schema im Love-Bombing vorübergehend „Heilung" findet) fehlt vollständig.</w:t>
      </w:r>
    </w:p>
    <w:p>
      <w:pPr>
        <w:numPr>
          <w:ilvl w:val="0"/>
          <w:numId w:val="11"/>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Einführung in 5 Schema-Domänen (besonders Domäne 1 und 4 für Trauma-Bonding-Vulnerabilität); Selbstcheck (YSQ-ähnlich): Welche Schemata prägten meine Anfälligkeit?; Verbindungsübung: Kindheitswunde → Love-Bombing-Reaktion; Imagery Rescripting als vertiefendes Angebot (Bonus); Reparenting-Konzept (Mellody): Was gebe ich mir selbst, was in der Kindheit fehlte?</w:t>
      </w:r>
    </w:p>
    <w:p>
      <w:pPr>
        <w:numPr>
          <w:ilvl w:val="0"/>
          <w:numId w:val="11"/>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MITTEL – Essenziell für nachhaltige Prävention von Beziehungswiederholung</w:t>
      </w:r>
    </w:p>
    <w:p>
      <w:pPr>
        <w:numPr>
          <w:ilvl w:val="0"/>
          <w:numId w:val="11"/>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Schritt 09 deutlich erweitern (Unterkapitel 9.3 Schema-Wurzeln) oder neues Modul „Warum ich anfällig war"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lücke_9_ifs_parts_work_innere_anteile"/>
      <w:r>
        <w:rPr>
          <w:rFonts w:eastAsia="georgia" w:cs="georgia" w:ascii="georgia" w:hAnsi="georgia"/>
          <w:b/>
          <w:color w:val="000000"/>
          <w:sz w:val="24"/>
        </w:rPr>
        <w:t xml:space="preserve">Lücke 9: IFS/Parts Work – Innere Anteile</w:t>
      </w:r>
      <w:bookmarkEnd w:id="20"/>
    </w:p>
    <w:p>
      <w:pPr>
        <w:numPr>
          <w:ilvl w:val="0"/>
          <w:numId w:val="12"/>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102">
        <w:r>
          <w:rPr>
            <w:rFonts w:eastAsia="helvetica neue" w:cs="helvetica neue" w:ascii="helvetica neue" w:hAnsi="helvetica neue"/>
            <w:color w:val="#000"/>
            <w:sz w:val="21"/>
            <w:u w:val="single"/>
          </w:rPr>
          <w:t xml:space="preserve">Schwartz IFS</w:t>
        </w:r>
      </w:hyperlink>
      <w:r>
        <w:rPr>
          <w:rFonts w:eastAsia="georgia" w:cs="georgia" w:ascii="georgia" w:hAnsi="georgia"/>
          <w:color w:val="000000"/>
          <w:sz w:val="21"/>
        </w:rPr>
        <w:t xml:space="preserve">; </w:t>
      </w:r>
      <w:hyperlink r:id="rId103">
        <w:r>
          <w:rPr>
            <w:rFonts w:eastAsia="helvetica neue" w:cs="helvetica neue" w:ascii="helvetica neue" w:hAnsi="helvetica neue"/>
            <w:color w:val="#000"/>
            <w:sz w:val="21"/>
            <w:u w:val="single"/>
          </w:rPr>
          <w:t xml:space="preserve">Van der Kolk (IFS als empfohlene Methode)</w:t>
        </w:r>
      </w:hyperlink>
      <w:r>
        <w:rPr>
          <w:rFonts w:eastAsia="georgia" w:cs="georgia" w:ascii="georgia" w:hAnsi="georgia"/>
          <w:color w:val="000000"/>
          <w:sz w:val="21"/>
        </w:rPr>
        <w:t xml:space="preserve">; Checklisten-Punkte B3.1–B3.3</w:t>
      </w:r>
    </w:p>
    <w:p>
      <w:pPr>
        <w:numPr>
          <w:ilvl w:val="0"/>
          <w:numId w:val="12"/>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Schritt 02 enthält eine kreative Variante (Innere Anwältinnen der Sucht), die konzeptuell nahe an IFS ist. Ein vollständiges Parts-Work-Framework fehlt: Die Arbeit mit Exiles (verbannte verletzliche Anteile), Managern (kontrollierende Beschützer) und Feuerwehrleuten (reaktive Beschützer) ist nicht strukturiert angeboten.</w:t>
      </w:r>
    </w:p>
    <w:p>
      <w:pPr>
        <w:numPr>
          <w:ilvl w:val="0"/>
          <w:numId w:val="12"/>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Grundeinführung in IFS-Konzepte (Exiles, Manager, Firefighter); Übung: „Welcher Anteil will zurück?" mit mitfühlender Erkundung statt Bekämpfung; Internal Secure Attachment-Übung (sichere innere Beziehung zum Selbst als Heilungsziel); Unblending-Technik für überwältigende Anteile.</w:t>
      </w:r>
    </w:p>
    <w:p>
      <w:pPr>
        <w:numPr>
          <w:ilvl w:val="0"/>
          <w:numId w:val="12"/>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MITTEL – Besonders wertvoll für Betroffene mit widersprüchlichen inneren Impulsen</w:t>
      </w:r>
    </w:p>
    <w:p>
      <w:pPr>
        <w:numPr>
          <w:ilvl w:val="0"/>
          <w:numId w:val="12"/>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Schritt 09 erweitern (Unterkapitel 9.4 Parts Work) oder in Bonus A (EMDR-nahe Selbsthilfe) integrieren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lücke_10_cft_selbstmitgefühl_als_82da04"/>
      <w:r>
        <w:rPr>
          <w:rFonts w:eastAsia="georgia" w:cs="georgia" w:ascii="georgia" w:hAnsi="georgia"/>
          <w:b/>
          <w:color w:val="000000"/>
          <w:sz w:val="24"/>
        </w:rPr>
        <w:t xml:space="preserve">Lücke 10: CFT/Selbstmitgefühl als vollständiges Modul</w:t>
      </w:r>
      <w:bookmarkEnd w:id="21"/>
    </w:p>
    <w:p>
      <w:pPr>
        <w:numPr>
          <w:ilvl w:val="0"/>
          <w:numId w:val="13"/>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104">
        <w:r>
          <w:rPr>
            <w:rFonts w:eastAsia="helvetica neue" w:cs="helvetica neue" w:ascii="helvetica neue" w:hAnsi="helvetica neue"/>
            <w:color w:val="#000"/>
            <w:sz w:val="21"/>
            <w:u w:val="single"/>
          </w:rPr>
          <w:t xml:space="preserve">Gilbert CFT</w:t>
        </w:r>
      </w:hyperlink>
      <w:r>
        <w:rPr>
          <w:rFonts w:eastAsia="georgia" w:cs="georgia" w:ascii="georgia" w:hAnsi="georgia"/>
          <w:color w:val="000000"/>
          <w:sz w:val="21"/>
        </w:rPr>
        <w:t xml:space="preserve">; </w:t>
      </w:r>
      <w:hyperlink r:id="rId105">
        <w:r>
          <w:rPr>
            <w:rFonts w:eastAsia="helvetica neue" w:cs="helvetica neue" w:ascii="helvetica neue" w:hAnsi="helvetica neue"/>
            <w:color w:val="#000"/>
            <w:sz w:val="21"/>
            <w:u w:val="single"/>
          </w:rPr>
          <w:t xml:space="preserve">Neff 2003 – Mindful Self-Compassion</w:t>
        </w:r>
      </w:hyperlink>
      <w:r>
        <w:rPr>
          <w:rFonts w:eastAsia="georgia" w:cs="georgia" w:ascii="georgia" w:hAnsi="georgia"/>
          <w:color w:val="000000"/>
          <w:sz w:val="21"/>
        </w:rPr>
        <w:t xml:space="preserve">; Checklisten-Punkte B4.1–B4.4</w:t>
      </w:r>
    </w:p>
    <w:p>
      <w:pPr>
        <w:numPr>
          <w:ilvl w:val="0"/>
          <w:numId w:val="13"/>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Neff 2003 wird in Schritt 09 als Konzept zitiert. Es fehlt jedoch ein strukturiertes CFT-Modul, das das Drei-Systeme-Modell (Bedrohungs-, Antriebs-, Beruhigungssystem) erklärt, Soothing-Fähigkeiten aufbaut und explizit den Widerstand gegen Selbstmitgefühl adressiert (ein zentrales Phänomen nach narzisstischem Missbrauch).</w:t>
      </w:r>
    </w:p>
    <w:p>
      <w:pPr>
        <w:numPr>
          <w:ilvl w:val="0"/>
          <w:numId w:val="13"/>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Drei-Systeme-Modell als Psychoedukation (warum Selbstkritik nach Trauma automatisch anspringt); Compassionate Letter Writing-Übung; Soothing Breathing-Technik; Bearbeitung von Selbstmitgefühls-Widerstand: „Ich verdiene kein Mitgefühl" als Trauma-Symptom benennen.</w:t>
      </w:r>
    </w:p>
    <w:p>
      <w:pPr>
        <w:numPr>
          <w:ilvl w:val="0"/>
          <w:numId w:val="13"/>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MITTEL – Direkt adressiert die häufigste Recovery-Blockade nach narzisstischem Missbrauch</w:t>
      </w:r>
    </w:p>
    <w:p>
      <w:pPr>
        <w:numPr>
          <w:ilvl w:val="0"/>
          <w:numId w:val="13"/>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Schritt 09 stark erweitern oder eigenständiges Modul 9.5 „Selbstmitgefühl als Superkraft"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lücke_11_disenfranchised_grief_ex_ed225c"/>
      <w:r>
        <w:rPr>
          <w:rFonts w:eastAsia="georgia" w:cs="georgia" w:ascii="georgia" w:hAnsi="georgia"/>
          <w:b/>
          <w:color w:val="000000"/>
          <w:sz w:val="24"/>
        </w:rPr>
        <w:t xml:space="preserve">Lücke 11: Disenfranchised Grief / Explizite Trauerarbeit</w:t>
      </w:r>
      <w:bookmarkEnd w:id="22"/>
    </w:p>
    <w:p>
      <w:pPr>
        <w:numPr>
          <w:ilvl w:val="0"/>
          <w:numId w:val="14"/>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106">
        <w:r>
          <w:rPr>
            <w:rFonts w:eastAsia="helvetica neue" w:cs="helvetica neue" w:ascii="helvetica neue" w:hAnsi="helvetica neue"/>
            <w:color w:val="#000"/>
            <w:sz w:val="21"/>
            <w:u w:val="single"/>
          </w:rPr>
          <w:t xml:space="preserve">Durvasula – Disenfranchised Grief</w:t>
        </w:r>
      </w:hyperlink>
      <w:r>
        <w:rPr>
          <w:rFonts w:eastAsia="georgia" w:cs="georgia" w:ascii="georgia" w:hAnsi="georgia"/>
          <w:color w:val="000000"/>
          <w:sz w:val="21"/>
        </w:rPr>
        <w:t xml:space="preserve">; </w:t>
      </w:r>
      <w:hyperlink r:id="rId107">
        <w:r>
          <w:rPr>
            <w:rFonts w:eastAsia="helvetica neue" w:cs="helvetica neue" w:ascii="helvetica neue" w:hAnsi="helvetica neue"/>
            <w:color w:val="#000"/>
            <w:sz w:val="21"/>
            <w:u w:val="single"/>
          </w:rPr>
          <w:t xml:space="preserve">Herman Phase 2</w:t>
        </w:r>
      </w:hyperlink>
      <w:r>
        <w:rPr>
          <w:rFonts w:eastAsia="georgia" w:cs="georgia" w:ascii="georgia" w:hAnsi="georgia"/>
          <w:color w:val="000000"/>
          <w:sz w:val="21"/>
        </w:rPr>
        <w:t xml:space="preserve"> (Trauer als Kernarbeit); Checklisten-Punkte A4.3–A4.4</w:t>
      </w:r>
    </w:p>
    <w:p>
      <w:pPr>
        <w:numPr>
          <w:ilvl w:val="0"/>
          <w:numId w:val="14"/>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UNBOND adressiert kognitive und neurobiologische Aspekte der Trennung hervorragend. Eine explizite Trauerarbeit – das bewusste Würdigen des Verlustes (Zukunftstraum, Identität in der Beziehung, verlorene Jahre) – fehlt. Besonders absent: das Konzept der Disenfranchised Grief: Gesellschaft und Umfeld sagen oft „Du bist doch froh, dass du raus bist", was die echte Trauer invalidiert.</w:t>
      </w:r>
    </w:p>
    <w:p>
      <w:pPr>
        <w:numPr>
          <w:ilvl w:val="0"/>
          <w:numId w:val="14"/>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Psychoedukation zu Disenfranchised Grief (warum toxische Beziehungen echte Trauer hinterlassen); Trauerarbeit-Protokoll: Was habe ich verloren? (Zukunftstraum, Bindung an Kinder, Identität, verlorene Zeit); Brief an das verlorene Ich; Abschiedsritual als Abschluss.</w:t>
      </w:r>
    </w:p>
    <w:p>
      <w:pPr>
        <w:numPr>
          <w:ilvl w:val="0"/>
          <w:numId w:val="14"/>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MITTEL – Fehlen dieser Arbeit ist häufige Ursache für Stagnation in der Recovery</w:t>
      </w:r>
    </w:p>
    <w:p>
      <w:pPr>
        <w:numPr>
          <w:ilvl w:val="0"/>
          <w:numId w:val="14"/>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Zwischen Schritt 03 und 04 einfügen oder Schritt 10 um Trauer-Sektion ergänzen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lücke_12_love_addiction_framework_fb82ef"/>
      <w:r>
        <w:rPr>
          <w:rFonts w:eastAsia="georgia" w:cs="georgia" w:ascii="georgia" w:hAnsi="georgia"/>
          <w:b/>
          <w:color w:val="000000"/>
          <w:sz w:val="24"/>
        </w:rPr>
        <w:t xml:space="preserve">Lücke 12: Love Addiction Framework – Mellody/Schaeffer vollständig integrieren</w:t>
      </w:r>
      <w:bookmarkEnd w:id="23"/>
    </w:p>
    <w:p>
      <w:pPr>
        <w:numPr>
          <w:ilvl w:val="0"/>
          <w:numId w:val="15"/>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108">
        <w:r>
          <w:rPr>
            <w:rFonts w:eastAsia="helvetica neue" w:cs="helvetica neue" w:ascii="helvetica neue" w:hAnsi="helvetica neue"/>
            <w:color w:val="#000"/>
            <w:sz w:val="21"/>
            <w:u w:val="single"/>
          </w:rPr>
          <w:t xml:space="preserve">Mellody 1992 – Love Addict/Avoidant Tango</w:t>
        </w:r>
      </w:hyperlink>
      <w:r>
        <w:rPr>
          <w:rFonts w:eastAsia="georgia" w:cs="georgia" w:ascii="georgia" w:hAnsi="georgia"/>
          <w:color w:val="000000"/>
          <w:sz w:val="21"/>
        </w:rPr>
        <w:t xml:space="preserve">; </w:t>
      </w:r>
      <w:hyperlink r:id="rId109">
        <w:r>
          <w:rPr>
            <w:rFonts w:eastAsia="helvetica neue" w:cs="helvetica neue" w:ascii="helvetica neue" w:hAnsi="helvetica neue"/>
            <w:color w:val="#000"/>
            <w:sz w:val="21"/>
            <w:u w:val="single"/>
          </w:rPr>
          <w:t xml:space="preserve">Schaeffer – Liebessucht vs. gesunde Liebe</w:t>
        </w:r>
      </w:hyperlink>
      <w:r>
        <w:rPr>
          <w:rFonts w:eastAsia="georgia" w:cs="georgia" w:ascii="georgia" w:hAnsi="georgia"/>
          <w:color w:val="000000"/>
          <w:sz w:val="21"/>
        </w:rPr>
        <w:t xml:space="preserve">; Checklisten-Punkt B1.1</w:t>
      </w:r>
    </w:p>
    <w:p>
      <w:pPr>
        <w:numPr>
          <w:ilvl w:val="0"/>
          <w:numId w:val="15"/>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Das neurobiologische Suchtmodell (Fisher, Langeslag, Carnes-Grundlagen) ist stark vertreten. Mellodys Love Addict/Avoidant-Tango und Schaeffers Unterscheidungs-Framework (Liebessucht vs. gesunde Liebe) sind nicht integriert. Das Reparenting-Konzept fehlt.</w:t>
      </w:r>
    </w:p>
    <w:p>
      <w:pPr>
        <w:numPr>
          <w:ilvl w:val="0"/>
          <w:numId w:val="15"/>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Love Addict/Avoidant-Tango als Erklärungsmodell für die eigene Rolle im Beziehungssystem; Schaeffer-Tabelle (Liebessucht vs. gesunde Liebe) als Selbstcheck; Reparenting-Übung (Was gebe ich mir jetzt selbst?); Mellodys drei Recovery-Phasen als Orientierung.</w:t>
      </w:r>
    </w:p>
    <w:p>
      <w:pPr>
        <w:numPr>
          <w:ilvl w:val="0"/>
          <w:numId w:val="15"/>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MITTEL – Erhöht das Verständnis der eigenen systemischen Rolle erheblich</w:t>
      </w:r>
    </w:p>
    <w:p>
      <w:pPr>
        <w:numPr>
          <w:ilvl w:val="0"/>
          <w:numId w:val="15"/>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Kapitel 0.5 (Liebe oder Sucht?) erheblich erweitern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lücke_13_radical_acceptance_für_n_e30afd"/>
      <w:r>
        <w:rPr>
          <w:rFonts w:eastAsia="georgia" w:cs="georgia" w:ascii="georgia" w:hAnsi="georgia"/>
          <w:b/>
          <w:color w:val="000000"/>
          <w:sz w:val="24"/>
        </w:rPr>
        <w:t xml:space="preserve">Lücke 13: Radical Acceptance für narzisstischen Missbrauch</w:t>
      </w:r>
      <w:bookmarkEnd w:id="24"/>
    </w:p>
    <w:p>
      <w:pPr>
        <w:numPr>
          <w:ilvl w:val="0"/>
          <w:numId w:val="16"/>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110">
        <w:r>
          <w:rPr>
            <w:rFonts w:eastAsia="helvetica neue" w:cs="helvetica neue" w:ascii="helvetica neue" w:hAnsi="helvetica neue"/>
            <w:color w:val="#000"/>
            <w:sz w:val="21"/>
            <w:u w:val="single"/>
          </w:rPr>
          <w:t xml:space="preserve">Durvasula – Radical Acceptance</w:t>
        </w:r>
      </w:hyperlink>
      <w:r>
        <w:rPr>
          <w:rFonts w:eastAsia="georgia" w:cs="georgia" w:ascii="georgia" w:hAnsi="georgia"/>
          <w:color w:val="000000"/>
          <w:sz w:val="21"/>
        </w:rPr>
        <w:t xml:space="preserve">; </w:t>
      </w:r>
      <w:hyperlink r:id="rId111">
        <w:r>
          <w:rPr>
            <w:rFonts w:eastAsia="helvetica neue" w:cs="helvetica neue" w:ascii="helvetica neue" w:hAnsi="helvetica neue"/>
            <w:color w:val="#000"/>
            <w:sz w:val="21"/>
            <w:u w:val="single"/>
          </w:rPr>
          <w:t xml:space="preserve">DBT Linehan</w:t>
        </w:r>
      </w:hyperlink>
      <w:r>
        <w:rPr>
          <w:rFonts w:eastAsia="georgia" w:cs="georgia" w:ascii="georgia" w:hAnsi="georgia"/>
          <w:color w:val="000000"/>
          <w:sz w:val="21"/>
        </w:rPr>
        <w:t xml:space="preserve"> (Radical Acceptance als Kernskill); </w:t>
      </w:r>
      <w:hyperlink r:id="rId112">
        <w:r>
          <w:rPr>
            <w:rFonts w:eastAsia="helvetica neue" w:cs="helvetica neue" w:ascii="helvetica neue" w:hAnsi="helvetica neue"/>
            <w:color w:val="#000"/>
            <w:sz w:val="21"/>
            <w:u w:val="single"/>
          </w:rPr>
          <w:t xml:space="preserve">Thomas Stufe 6 – Maintenance</w:t>
        </w:r>
      </w:hyperlink>
    </w:p>
    <w:p>
      <w:pPr>
        <w:numPr>
          <w:ilvl w:val="0"/>
          <w:numId w:val="16"/>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ACT-Akzeptanz ist im Programm verankert (Defusion, Kontakt mit dem gegenwärtigen Moment). Was fehlt, ist die spezifische Form der Radical Acceptance, die Durvasula für narzisstischen Missbrauch entwickelt hat: Akzeptanz der Tatsache, dass die Beziehung „nie war, was ich dachte, dass sie war" und die Täter*in sich nicht ändern wird.</w:t>
      </w:r>
    </w:p>
    <w:p>
      <w:pPr>
        <w:numPr>
          <w:ilvl w:val="0"/>
          <w:numId w:val="16"/>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Psychoedukation zu Radical Acceptance als Befreiung (nicht Niederlage); Übung: „Ich akzeptiere, dass sie sich nicht ändern wird" – mit konkreten Formulierungsschritten; Unterscheidung zwischen Akzeptanz und Zustimmung; Integration in Schritt 03 (Rosa-Brille) oder Schritt 07 (Suchtmuster brechen).</w:t>
      </w:r>
    </w:p>
    <w:p>
      <w:pPr>
        <w:numPr>
          <w:ilvl w:val="0"/>
          <w:numId w:val="16"/>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MITTEL – Zentral für das Loslassen von Hoffnungsschleifen</w:t>
      </w:r>
    </w:p>
    <w:p>
      <w:pPr>
        <w:numPr>
          <w:ilvl w:val="0"/>
          <w:numId w:val="16"/>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Schritt 03 oder Schritt 07 erweitern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lücke_14_internalisierte_homophob_460b15"/>
      <w:r>
        <w:rPr>
          <w:rFonts w:eastAsia="georgia" w:cs="georgia" w:ascii="georgia" w:hAnsi="georgia"/>
          <w:b/>
          <w:color w:val="000000"/>
          <w:sz w:val="24"/>
        </w:rPr>
        <w:t xml:space="preserve">Lücke 14: Internalisierte Homophobie als Recovery-Thema</w:t>
      </w:r>
      <w:bookmarkEnd w:id="25"/>
    </w:p>
    <w:p>
      <w:pPr>
        <w:numPr>
          <w:ilvl w:val="0"/>
          <w:numId w:val="17"/>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113">
        <w:r>
          <w:rPr>
            <w:rFonts w:eastAsia="helvetica neue" w:cs="helvetica neue" w:ascii="helvetica neue" w:hAnsi="helvetica neue"/>
            <w:color w:val="#000"/>
            <w:sz w:val="21"/>
            <w:u w:val="single"/>
          </w:rPr>
          <w:t xml:space="preserve">Meyer – Internalized Homophobia</w:t>
        </w:r>
      </w:hyperlink>
      <w:r>
        <w:rPr>
          <w:rFonts w:eastAsia="georgia" w:cs="georgia" w:ascii="georgia" w:hAnsi="georgia"/>
          <w:color w:val="000000"/>
          <w:sz w:val="21"/>
        </w:rPr>
        <w:t xml:space="preserve">; </w:t>
      </w:r>
      <w:hyperlink r:id="rId114">
        <w:r>
          <w:rPr>
            <w:rFonts w:eastAsia="helvetica neue" w:cs="helvetica neue" w:ascii="helvetica neue" w:hAnsi="helvetica neue"/>
            <w:color w:val="#000"/>
            <w:sz w:val="21"/>
            <w:u w:val="single"/>
          </w:rPr>
          <w:t xml:space="preserve">Badenes-Ribera Meta-Analyse 2019</w:t>
        </w:r>
      </w:hyperlink>
      <w:r>
        <w:rPr>
          <w:rFonts w:eastAsia="georgia" w:cs="georgia" w:ascii="georgia" w:hAnsi="georgia"/>
          <w:color w:val="000000"/>
          <w:sz w:val="21"/>
        </w:rPr>
        <w:t xml:space="preserve">; </w:t>
      </w:r>
      <w:hyperlink r:id="rId115">
        <w:r>
          <w:rPr>
            <w:rFonts w:eastAsia="helvetica neue" w:cs="helvetica neue" w:ascii="helvetica neue" w:hAnsi="helvetica neue"/>
            <w:color w:val="#000"/>
            <w:sz w:val="21"/>
            <w:u w:val="single"/>
          </w:rPr>
          <w:t xml:space="preserve">IPV in LGBTQ+ (PMC 2023)</w:t>
        </w:r>
      </w:hyperlink>
    </w:p>
    <w:p>
      <w:pPr>
        <w:numPr>
          <w:ilvl w:val="0"/>
          <w:numId w:val="17"/>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Schritt 08 adressiert WLW-Kontext, Minority Stress und Boundary Dissolution. Internalisierte Homophobie als eigenständiger Trauma-Verstärker (niedrigeres Selbstwertgefühl als queere Person → höhere Toleranz für Missbrauch; Täter*in nutzt internalisierte Scham als Kontrollmittel) ist nicht als Thema ausgearbeitet.</w:t>
      </w:r>
    </w:p>
    <w:p>
      <w:pPr>
        <w:numPr>
          <w:ilvl w:val="0"/>
          <w:numId w:val="17"/>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Kurze Psychoedukation zu internalisierter Homophobie und ihrem Einfluss auf Trauma-Bonding; Reflexionsübung: „Welche internalisierte Botschaft macht mich für Missbrauch empfänglicher?"; Identitäts-affirmierende Gegenbotschaften; Verbindung zu Minority Stress.</w:t>
      </w:r>
    </w:p>
    <w:p>
      <w:pPr>
        <w:numPr>
          <w:ilvl w:val="0"/>
          <w:numId w:val="17"/>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NIEDRIG bis 🟡 MITTEL – Für die Zielgruppe strukturell wichtig</w:t>
      </w:r>
    </w:p>
    <w:p>
      <w:pPr>
        <w:numPr>
          <w:ilvl w:val="0"/>
          <w:numId w:val="17"/>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Schritt 08 erweitern (Unterkapitel 8.4)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lücke_15_täterpsychologie_entitle_99b90b"/>
      <w:r>
        <w:rPr>
          <w:rFonts w:eastAsia="georgia" w:cs="georgia" w:ascii="georgia" w:hAnsi="georgia"/>
          <w:b/>
          <w:color w:val="000000"/>
          <w:sz w:val="24"/>
        </w:rPr>
        <w:t xml:space="preserve">Lücke 15: Täterpsychologie (Entitlement nach Bancroft) – queere Adaption</w:t>
      </w:r>
      <w:bookmarkEnd w:id="26"/>
    </w:p>
    <w:p>
      <w:pPr>
        <w:numPr>
          <w:ilvl w:val="0"/>
          <w:numId w:val="18"/>
        </w:numPr>
        <w:spacing w:line="360" w:before="105" w:after="105" w:lineRule="auto"/>
      </w:pPr>
      <w:r>
        <w:rPr>
          <w:rFonts w:eastAsia="georgia" w:cs="georgia" w:ascii="georgia" w:hAnsi="georgia"/>
          <w:b/>
          <w:color w:val="000000"/>
          <w:sz w:val="21"/>
        </w:rPr>
        <w:t xml:space="preserve">Quelle/Framework:</w:t>
      </w:r>
      <w:r>
        <w:rPr>
          <w:rFonts w:eastAsia="georgia" w:cs="georgia" w:ascii="georgia" w:hAnsi="georgia"/>
          <w:color w:val="000000"/>
          <w:sz w:val="21"/>
        </w:rPr>
        <w:t xml:space="preserve"> </w:t>
      </w:r>
      <w:hyperlink r:id="rId116">
        <w:r>
          <w:rPr>
            <w:rFonts w:eastAsia="helvetica neue" w:cs="helvetica neue" w:ascii="helvetica neue" w:hAnsi="helvetica neue"/>
            <w:color w:val="#000"/>
            <w:sz w:val="21"/>
            <w:u w:val="single"/>
          </w:rPr>
          <w:t xml:space="preserve">Bancroft 2002</w:t>
        </w:r>
      </w:hyperlink>
      <w:r>
        <w:rPr>
          <w:rFonts w:eastAsia="georgia" w:cs="georgia" w:ascii="georgia" w:hAnsi="georgia"/>
          <w:color w:val="000000"/>
          <w:sz w:val="21"/>
        </w:rPr>
        <w:t xml:space="preserve">; </w:t>
      </w:r>
      <w:hyperlink r:id="rId117">
        <w:r>
          <w:rPr>
            <w:rFonts w:eastAsia="helvetica neue" w:cs="helvetica neue" w:ascii="helvetica neue" w:hAnsi="helvetica neue"/>
            <w:color w:val="#000"/>
            <w:sz w:val="21"/>
            <w:u w:val="single"/>
          </w:rPr>
          <w:t xml:space="preserve">Durvasula – Antagonism-Informed Framework</w:t>
        </w:r>
      </w:hyperlink>
      <w:r>
        <w:rPr>
          <w:rFonts w:eastAsia="georgia" w:cs="georgia" w:ascii="georgia" w:hAnsi="georgia"/>
          <w:color w:val="000000"/>
          <w:sz w:val="21"/>
        </w:rPr>
        <w:t xml:space="preserve">; </w:t>
      </w:r>
      <w:hyperlink r:id="rId118">
        <w:r>
          <w:rPr>
            <w:rFonts w:eastAsia="helvetica neue" w:cs="helvetica neue" w:ascii="helvetica neue" w:hAnsi="helvetica neue"/>
            <w:color w:val="#000"/>
            <w:sz w:val="21"/>
            <w:u w:val="single"/>
          </w:rPr>
          <w:t xml:space="preserve">Safe &amp; Together Institute 2025</w:t>
        </w:r>
      </w:hyperlink>
      <w:r>
        <w:rPr>
          <w:rFonts w:eastAsia="georgia" w:cs="georgia" w:ascii="georgia" w:hAnsi="georgia"/>
          <w:color w:val="000000"/>
          <w:sz w:val="21"/>
        </w:rPr>
        <w:t xml:space="preserve"> (WLW-Täterschaft)</w:t>
      </w:r>
    </w:p>
    <w:p>
      <w:pPr>
        <w:numPr>
          <w:ilvl w:val="0"/>
          <w:numId w:val="18"/>
        </w:numPr>
        <w:spacing w:line="360" w:before="105" w:after="105" w:lineRule="auto"/>
      </w:pPr>
      <w:r>
        <w:rPr>
          <w:rFonts w:eastAsia="georgia" w:cs="georgia" w:ascii="georgia" w:hAnsi="georgia"/>
          <w:b/>
          <w:color w:val="000000"/>
          <w:sz w:val="21"/>
        </w:rPr>
        <w:t xml:space="preserve">Aktueller Stand in UNBOND:</w:t>
      </w:r>
      <w:r>
        <w:rPr>
          <w:rFonts w:eastAsia="georgia" w:cs="georgia" w:ascii="georgia" w:hAnsi="georgia"/>
          <w:color w:val="000000"/>
          <w:sz w:val="21"/>
        </w:rPr>
        <w:t xml:space="preserve"> Kap. 0.3 bietet hervorragende narzisstische Taktik-Erkennung (Weaponized Virtue Checker, Narzissmus-Radar). Was fehlt, ist die Täter*innen-Psychologie aus Bancrofts/Durvasula's Sicht: Missbrauch als willentliches Entitlement-Verhalten, nicht als psychologische Störung – und die queerspezifische Adaption (Bancrofts Modell ist heteronormativ, muss für WLW-Kontext übersetzt werden).</w:t>
      </w:r>
    </w:p>
    <w:p>
      <w:pPr>
        <w:numPr>
          <w:ilvl w:val="0"/>
          <w:numId w:val="18"/>
        </w:numPr>
        <w:spacing w:line="360" w:before="105" w:after="105" w:lineRule="auto"/>
      </w:pPr>
      <w:r>
        <w:rPr>
          <w:rFonts w:eastAsia="georgia" w:cs="georgia" w:ascii="georgia" w:hAnsi="georgia"/>
          <w:b/>
          <w:color w:val="000000"/>
          <w:sz w:val="21"/>
        </w:rPr>
        <w:t xml:space="preserve">Was fehlt:</w:t>
      </w:r>
      <w:r>
        <w:rPr>
          <w:rFonts w:eastAsia="georgia" w:cs="georgia" w:ascii="georgia" w:hAnsi="georgia"/>
          <w:color w:val="000000"/>
          <w:sz w:val="21"/>
        </w:rPr>
        <w:t xml:space="preserve"> Erklärungs-Übung: „Warum hat sie mich so behandelt? Nicht wegen ihrer Verletzung, sondern wegen ihres Entitlement-Denkens"; queere Adaption von Bancrofts 8 Täter*innen-Typen auf WLW-Muster; Unterscheidung zwischen Entitlement-basiertem Missbrauch und reaktivem Missbrauch.</w:t>
      </w:r>
    </w:p>
    <w:p>
      <w:pPr>
        <w:numPr>
          <w:ilvl w:val="0"/>
          <w:numId w:val="18"/>
        </w:numPr>
        <w:spacing w:line="360" w:before="105" w:after="105" w:lineRule="auto"/>
      </w:pPr>
      <w:r>
        <w:rPr>
          <w:rFonts w:eastAsia="georgia" w:cs="georgia" w:ascii="georgia" w:hAnsi="georgia"/>
          <w:b/>
          <w:color w:val="000000"/>
          <w:sz w:val="21"/>
        </w:rPr>
        <w:t xml:space="preserve">Priorität:</w:t>
      </w:r>
      <w:r>
        <w:rPr>
          <w:rFonts w:eastAsia="georgia" w:cs="georgia" w:ascii="georgia" w:hAnsi="georgia"/>
          <w:color w:val="000000"/>
          <w:sz w:val="21"/>
        </w:rPr>
        <w:t xml:space="preserve"> 🟢 NIEDRIG – Wichtig für kognitives Verständnis, nicht für akute Stabilisierung</w:t>
      </w:r>
    </w:p>
    <w:p>
      <w:pPr>
        <w:numPr>
          <w:ilvl w:val="0"/>
          <w:numId w:val="18"/>
        </w:numPr>
        <w:spacing w:line="360" w:before="105" w:after="105" w:lineRule="auto"/>
      </w:pPr>
      <w:r>
        <w:rPr>
          <w:rFonts w:eastAsia="georgia" w:cs="georgia" w:ascii="georgia" w:hAnsi="georgia"/>
          <w:b/>
          <w:color w:val="000000"/>
          <w:sz w:val="21"/>
        </w:rPr>
        <w:t xml:space="preserve">Empfohlenes Modul:</w:t>
      </w:r>
      <w:r>
        <w:rPr>
          <w:rFonts w:eastAsia="georgia" w:cs="georgia" w:ascii="georgia" w:hAnsi="georgia"/>
          <w:color w:val="000000"/>
          <w:sz w:val="21"/>
        </w:rPr>
        <w:t xml:space="preserve"> Kap. 0.3 erweitern oder Schritt 02 Deep Dive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priorisierte_maßnahmenliste"/>
      <w:r>
        <w:rPr>
          <w:rFonts w:eastAsia="georgia" w:cs="georgia" w:ascii="georgia" w:hAnsi="georgia"/>
          <w:b/>
          <w:color w:val="000000"/>
          <w:sz w:val="24"/>
        </w:rPr>
        <w:t xml:space="preserve">Priorisierte Maßnahmenliste</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Lücke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Priorität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Modulzuordnung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Lernziel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Disclaimer-Hinweis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Konkrete Übung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Breadcrumbing als Manipulation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HOCH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S04 erweitern (4.2 neu) oder Modul 4.5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erkennt minimale Signale (Emojis, Likes, Unblockieren) als Kontrollinstrument und entwickelt eine automatische 24h-Pause-Reaktion anstelle von impulsivem Kontakt.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Bei Kontaktaufnahme der Ex-Partnerin mit bedrohlichem Charakter: Krisenhotline 0800 111 0 111 (kostenlos, 24/7). Dieses Modul ersetzt keine rechtliche Beratung.</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Breadcrumb-Decoder</w:t>
            </w:r>
            <w:r>
              <w:rPr>
                <w:rFonts w:eastAsia="helvetica neue" w:cs="helvetica neue" w:ascii="helvetica neue" w:hAnsi="helvetica neue"/>
                <w:color w:val="000000"/>
                <w:sz w:val="17"/>
              </w:rPr>
              <w:t xml:space="preserve">: Notiere in einem Notizbuch 7 Tage lang jedes minimale Signal der Ex (Emoji, Like, Story-Aufruf, Unblockieren). Schreibe dazu: (1) Was war das Signal? (2) Was hoffte mein Gehirn? (3) Ist diese Hoffnung realistisch? Erkenne das Muster: Es gibt Signale, aber kein echtes Angebot.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Behördeneinsatz als Trauma-Waffe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HOCH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Bonus D ausarbeiten; Kernelemente in Kap. 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versteht Behördeneinsatz als Missbrauchs-Eskalationstaktik, nicht als berechtigte Reaktion, und hat einen klaren Dokumentations- und Handlungsplan für rechtliche Bedrohungsszenarien.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Wichtig: Dieses Modul ersetzt keine Rechtsberatung. Bei laufenden Verfahren sofort Anwaltskontakt aufnehmen. Frauenhauskoordinierung: 08000 116 016 (kostenlos).</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Dokumentations-Chronik</w:t>
            </w:r>
            <w:r>
              <w:rPr>
                <w:rFonts w:eastAsia="helvetica neue" w:cs="helvetica neue" w:ascii="helvetica neue" w:hAnsi="helvetica neue"/>
                <w:color w:val="000000"/>
                <w:sz w:val="17"/>
              </w:rPr>
              <w:t xml:space="preserve">: Erstelle ein privates, verschlüsseltes Dokument (z.B. passwortgeschützte Notiz) mit: Datum, Uhrzeit, genaue Beschreibung jedes Kontakts oder Vorfalls mit der Ex oder Behörden. Speichere Screenshots. Diese Dokumentation ist für dich – nicht für Konfrontation, sondern für Schutz.</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Digitale Manipulation / Blockade-Psychologie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HOCH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S04 oder S05 erweitern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versteht digitales Blockieren/Unblockieren als Kontrolldemonstration, hat ihre Benachrichtigungseinstellungen optimiert und reagiert auf digitale Breadcrumbs nicht impulsiv.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Wenn digitale Manipulation mit Stalking oder Überwachung verbunden ist → Cybermobbing-Meldestelle, lokale Polizei.</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Emoji-Immunität</w:t>
            </w:r>
            <w:r>
              <w:rPr>
                <w:rFonts w:eastAsia="helvetica neue" w:cs="helvetica neue" w:ascii="helvetica neue" w:hAnsi="helvetica neue"/>
                <w:color w:val="000000"/>
                <w:sz w:val="17"/>
              </w:rPr>
              <w:t xml:space="preserve">: Nimm dein Handy, öffne Social Media und deaktiviere alle Benachrichtigungen von Konten, die mit der Ex in Verbindung stehen. Schreibe dann: „Was erhoffe ich mir, wenn ich auf ein Emoji antworte?" Lies deine Antwort laut vor. Warte 48 Stunden. Beantworte dann rational: Hat sich diese Hoffnung je erfüllt?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Schema-Therapie – Kindheitswurzeln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MITTEL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S09 stark erweitern (9.3 neu)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identifiziert ihre 1–3 dominantesten frühen maladaptiven Schemata und versteht, warum Love-Bombing diese Schemata vorübergehend „heilte" – was die Sucht erklärt.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Schema-Therapie in der Tiefe erfordert professionelle Begleitung. Dieses Modul gibt eine erste Orientierung; ersetzt keine Schema-Therapie.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Schema-Entdecker</w:t>
            </w:r>
            <w:r>
              <w:rPr>
                <w:rFonts w:eastAsia="helvetica neue" w:cs="helvetica neue" w:ascii="helvetica neue" w:hAnsi="helvetica neue"/>
                <w:color w:val="000000"/>
                <w:sz w:val="17"/>
              </w:rPr>
              <w:t xml:space="preserve">: Lies die 5 Domänen der Schema-Therapie (nach Young). Wähle die 2–3 Schemata, die am meisten resonieren (z.B. Verlassenheit, Unterwerfung, Misstrauen). Schreibe: „Wann habe ich dieses Schema zum ersten Mal gespürt? (Kindheit)" und „Wie hat das Love-Bombing dieses Schema kurz ‚geheilt'?" Erkenne: Die Anziehung war real – sie wurde von einem echten Bedürfnis gespeist.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IFS/Parts Work – Innere Anteile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MITTEL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S09 erweitern (9.4 neu) oder Bonus 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kann ihre widersprüchlichen inneren Impulse (zurückwollen / wissen, dass es falsch ist) als verschiedene Anteile mit eigener Schutzfunktion identifizieren und mitfühlend erkunden statt bekämpfen.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Bei starker Dissoziation oder intensiven Flashbacks IFS nur mit therapeutischer Begleitung.</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Anteile-Interview</w:t>
            </w:r>
            <w:r>
              <w:rPr>
                <w:rFonts w:eastAsia="helvetica neue" w:cs="helvetica neue" w:ascii="helvetica neue" w:hAnsi="helvetica neue"/>
                <w:color w:val="000000"/>
                <w:sz w:val="17"/>
              </w:rPr>
              <w:t xml:space="preserve">: Schreibe in dein Journal: „Welcher Teil von mir will zurück?" Lass diesen Anteil sprechen (z.B. „Ich will zurück, weil ich Angst habe, allein zu sein"). Antworte dann aus deinem ruhigen Kern-Selbst: „Ich verstehe deine Angst. Du versuchst mich zu schützen. Ich bin jetzt für dich da." Wiederhole dies täglich 5 Minuten, bis sich der Anteil beruhigt.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CFT/Selbstmitgefühl als vollständiges Modul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MITTEL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S09 stark erweitern (9.5 neu)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kann das Drei-Systeme-Modell (Bedrohung, Antrieb, Beruhigung) auf ihren Recovery-Alltag anwenden, erkennt Selbstkritik als automatisches Trauma-Symptom und hat mindestens eine Soothing-Technik verinnerlicht.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CFT-Ansätze sind keine Medizin und ersetzen keine Psychotherapie. Bei anhaltender Depression: Fachärztliche Abklärung empfehlen.</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Mitfühlender Brief</w:t>
            </w:r>
            <w:r>
              <w:rPr>
                <w:rFonts w:eastAsia="helvetica neue" w:cs="helvetica neue" w:ascii="helvetica neue" w:hAnsi="helvetica neue"/>
                <w:color w:val="000000"/>
                <w:sz w:val="17"/>
              </w:rPr>
              <w:t xml:space="preserve">: Schreibe einen Brief an dich selbst, so wie du ihn an eine gute Freundin schreiben würdest, die dasselbe erlebt hat. Beginne mit: „Liebe [dein Name], ich sehe, wie viel du durchgemacht hast..." Sei so konkret und mitfühlend wie möglich. Lies den Brief laut vor. Spüre den Unterschied zu deiner inneren Kritikerstimme.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Disenfranchised Grief / Trauerarbeit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MITTEL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Neu: zwischen S03 und S04 (Übergangsmodul)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benennt explizit alle Verluste (Zukunftstraum, Bindung, verlorene Zeit, Identität) und erkennt, dass echte Trauer über toxische Beziehungen berechtigt ist – auch wenn das Umfeld es nicht versteht.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Intensive Trauerarbeit kann vorübergehend destabilisieren. Bei anhaltender Trauerstarre oder Suizidalität: professionelle Hilfe suchen. Telefonseelsorge: 0800 111 0 111.</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Verlust-Inventar</w:t>
            </w:r>
            <w:r>
              <w:rPr>
                <w:rFonts w:eastAsia="helvetica neue" w:cs="helvetica neue" w:ascii="helvetica neue" w:hAnsi="helvetica neue"/>
                <w:color w:val="000000"/>
                <w:sz w:val="17"/>
              </w:rPr>
              <w:t xml:space="preserve">: Schreibe drei Spalten: (1) Was ich verloren habe (konkret: Zukunftsträume, Bindung an Kinder, Teile meiner Identität, Jahre meines Lebens). (2) Wie ich gerne von diesem Verlust hätte trauern wollen. (3) Was mir hätte helfen sollen, das ich nicht bekam. Lies alle drei Spalten und sage laut: „Dieser Verlust ist real. Meine Trauer ist berechtigt."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Love Addiction Framework (Mellody/Schaeffer)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MITTEL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0.5 stark erweitern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versteht ihre Rolle im Love Addict/Avoidant-Tango, kann Liebessucht von gesunder Liebe unterscheiden (Schaeffer-Framework) und kennt das Reparenting-Konzept als Weg zur Selbstfürsorge.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Love Addiction hat tiefe Wurzeln; Recovery ist ein Prozess. 12-Schritt-Programme (SLAA) können unterstützen – Information bereitstellen, nicht vorschreiben.</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Tango-Erkenner</w:t>
            </w:r>
            <w:r>
              <w:rPr>
                <w:rFonts w:eastAsia="helvetica neue" w:cs="helvetica neue" w:ascii="helvetica neue" w:hAnsi="helvetica neue"/>
                <w:color w:val="000000"/>
                <w:sz w:val="17"/>
              </w:rPr>
              <w:t xml:space="preserve">: Zeichne eine Linie. Links: Love Addict (wie ich mich verhalten habe). Rechts: Love Avoidant (wie sie sich verhalten hat). Schreibe konkrete Szenen aus der Beziehung in die jeweilige Spalte. Beobachte das Muster: Ich suchte Nähe → Sie zog sich zurück → Ich wurde verzweifelter → Zyklus. Notiere: Das ist kein Fehler, das ist ein erlerntes System. Was brauche ich stattdessen?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Gaslighting-Gegenmittel im Alltag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MITTEL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S03 erweitern (3.5 neu)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hat ein Real-time Protokoll für Gaslighting-Momente, stoppt die Erklärungsschleife und hat ihren eigenen Wahrnehmungs-Anker etabliert.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Gaslighting kann tiefe Zweifel an der eigenen Wahrnehmung hinterlassen; bei persistenter Realitätsunsicherheit: psychiatrische Abklärung empfehlen.</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Wahrnehmungs-Anker</w:t>
            </w:r>
            <w:r>
              <w:rPr>
                <w:rFonts w:eastAsia="helvetica neue" w:cs="helvetica neue" w:ascii="helvetica neue" w:hAnsi="helvetica neue"/>
                <w:color w:val="000000"/>
                <w:sz w:val="17"/>
              </w:rPr>
              <w:t xml:space="preserve">: Nimm heute Abend ein Notizbuch und notiere die drei wichtigsten Ereignisse des Tages (mit Uhrzeit, konkreten Worten, Fakten). Wenn du Nachrichten von der Ex erhältst, die Dinge anders darstellen: Schau in deine Notizen. Deine Aufzeichnung ist dein Beweis. Sage: „Ich brauche ihre Zustimmung nicht, um meine Realität zu kennen."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Szene-Dynamiken / Small-Pool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MITTEL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S08 stark erweitern (8.3 neu)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hat eine konkrete Szene-Analyse erstellt, kennt ihre Triggerorte, hat alternative Community-Räume identifiziert und ein Begegnungs-Skript für ungewollte Treffen.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Isolation von der Community ist ein Missbrauchseffekt. Die Überlebende entscheidet selbst, wann sie sich wieder in Gemeinschaftsräume traut.</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Szene-Karte</w:t>
            </w:r>
            <w:r>
              <w:rPr>
                <w:rFonts w:eastAsia="helvetica neue" w:cs="helvetica neue" w:ascii="helvetica neue" w:hAnsi="helvetica neue"/>
                <w:color w:val="000000"/>
                <w:sz w:val="17"/>
              </w:rPr>
              <w:t xml:space="preserve">: Zeichne eine mentale Karte aller Orte und Online-Spaces, wo du deine Ex triffst oder von ihr hörst. Markiere: Rot = hoher Triggergrad / Gelb = mittel / Grün = sicher. Erstelle dann eine Liste von 3 neuen Orten/Gruppen, wo sie nicht präsent ist. Verpflichte dich, einen davon in dieser Woche zu besuchen oder online zu erkunden.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Doppelstandard &amp; Ersetzbarkeit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MITTEL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S03 oder S09 erweitern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trennt den Doppelstandard der Ex (anderes Verhalten mit neuer Partnerin) von ihrem eigenen Wert und erkennt ihn als Täter*innen-Muster, nicht als Beweis ihrer Unzulänglichkeit.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Der Schmerz des Doppelstandards ist real und valide. Er kann intensivere Trauer auslösen – bei Bedarf Unterstützung suchen.</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3-Spalten-Wahrheit</w:t>
            </w:r>
            <w:r>
              <w:rPr>
                <w:rFonts w:eastAsia="helvetica neue" w:cs="helvetica neue" w:ascii="helvetica neue" w:hAnsi="helvetica neue"/>
                <w:color w:val="000000"/>
                <w:sz w:val="17"/>
              </w:rPr>
              <w:t xml:space="preserve">: Spalte A: Was hat sie mir verweigert? (Integration, Zeit, Transparenz, emotionale Verfügbarkeit). Spalte B: Was macht sie mit der Neuen? Spalte C: Schreibe in eigenen Worten: „Das ist ihr Muster, nicht mein Defizit." Lies Spalte C laut vor – so oft, bis du beginnst, es zu glauben.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Scham um Sucht + ADHS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MITTEL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S09 erweitern (9.2 neu)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trennt ihre Heilungsgeschichte (Stärke) von der Täter*innen-Nutzung ihrer Diagnose als Kontrollmittel (Weaponized Diagnosis) und entwickelt Selbstmitgefühl für ihre Substanzgeschichte.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Hinweis: Substanzabhängigkeit und ADHS erfordern medizinische Begleitung. Dieses Modul unterstützt die Selbstwahrnehmung; ersetzt keine Suchttherapie. Bei Rückfall: Suchtberatung aufsuchen.</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Clean-Narrativ</w:t>
            </w:r>
            <w:r>
              <w:rPr>
                <w:rFonts w:eastAsia="helvetica neue" w:cs="helvetica neue" w:ascii="helvetica neue" w:hAnsi="helvetica neue"/>
                <w:color w:val="000000"/>
                <w:sz w:val="17"/>
              </w:rPr>
              <w:t xml:space="preserve">: Schreibe auf: (1) Meine Heilungsgeschichte in 3 Sätzen (ohne Wertung, nur Fakten). (2) Wie hat sie dieses Wissen gegen mich eingesetzt? (3) Was würde ich einer Freundin mit derselben Geschichte sagen? Schreibe (3) als Brief an dich selbst. Erkenne: Deine Geschichte ist Stärke – ihre Instrumentalisierung davon ist Missbrauch.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Radical Acceptance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MITTEL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S03 oder S07 erweitern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versteht Radical Acceptance als aktiven Befreiungsschritt (nicht als Zustimmung) und kann in konkreten Momenten den Satz „Sie wird sich nicht ändern" als entlastende Wahrheit halten.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Radical Acceptance bedeutet nicht, den Schmerz wegzumachen, sondern ihm Raum zu geben. Bei Suizidalität oder akutem Schmerz: Krisenhotline.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Acceptance-Protokoll</w:t>
            </w:r>
            <w:r>
              <w:rPr>
                <w:rFonts w:eastAsia="helvetica neue" w:cs="helvetica neue" w:ascii="helvetica neue" w:hAnsi="helvetica neue"/>
                <w:color w:val="000000"/>
                <w:sz w:val="17"/>
              </w:rPr>
              <w:t xml:space="preserve">: Schreibe den Satz: „Ich akzeptiere, dass sie nicht die Person ist, die ich liebte." Lies ihn 10 Mal. Notiere alle Widerstände, die auftauchen (z.B. „Aber manchmal war sie doch..."). Antworte auf jeden Widerstand: „Ja, und – das ändert das Gesamtmuster nicht." Wiederhole täglich für 21 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Internalisierte Homophobie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NIEDRIG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S08 erweitern (8.4 neu)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benennt mindestens eine internalisierte homophobe Botschaft, die sie für Missbrauch anfälliger gemacht hat, und entwickelt eine affirmative Gegenbotschaft.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Die Arbeit mit internalisierter Homophobie kann Coming-out-Prozesse reaktivieren. Bei Bedarf: LGBTQ+-affirmative Beratung (z.B. Beratung der Rosa Hilfe).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Innere Botschaft entlarven</w:t>
            </w:r>
            <w:r>
              <w:rPr>
                <w:rFonts w:eastAsia="helvetica neue" w:cs="helvetica neue" w:ascii="helvetica neue" w:hAnsi="helvetica neue"/>
                <w:color w:val="000000"/>
                <w:sz w:val="17"/>
              </w:rPr>
              <w:t xml:space="preserve">: Schreibe die Sätze auf, die du schon immer über queere Frauen gehört hast (intern oder extern). Welche hast du irgendwann geglaubt? Welche haben dazu beigetragen, Missbrauch zu tolerieren? Schreibe jetzt eine Gegenbotschaft in eigenen Worten. Beispiel: „Queere Frauen verdienen Würde, Schutz und echte Liebe – genauso wie alle anderen."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Täterpsychologie – queere Adaption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NIEDRIG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Kap. 0.3 oder S02 Deep Dive erweitern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Die Teilnehmerin versteht narzisstischen Missbrauch als willentliches Entitlement-Verhalten (nicht als psychologische Reaktion), was die Hoffnung auf Veränderung realistisch einordnet.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Hinweis: Täterpsychologie-Wissen kann rational entlasten; soll nicht dazu führen, die Täter*in zu analysieren statt sich selbst zu heilen.</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Entitlement-Check</w:t>
            </w:r>
            <w:r>
              <w:rPr>
                <w:rFonts w:eastAsia="helvetica neue" w:cs="helvetica neue" w:ascii="helvetica neue" w:hAnsi="helvetica neue"/>
                <w:color w:val="000000"/>
                <w:sz w:val="17"/>
              </w:rPr>
              <w:t xml:space="preserve">: Schreibe 5 Verhaltensweisen der Ex auf, die sich angefühlt haben wie „Sie glaubt, das Recht zu haben, so mit mir umzugehen." Lese jeden Punkt und schreibe: „Das ist Entitlement – nicht Reaktion auf mich, nicht Verletzung – Entitlement." Erkenne: Du hast keine Schuld an ihrem Wertesystem.</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tärken_von_unbond"/>
      <w:r>
        <w:rPr>
          <w:rFonts w:eastAsia="georgia" w:cs="georgia" w:ascii="georgia" w:hAnsi="georgia"/>
          <w:b/>
          <w:color w:val="000000"/>
          <w:sz w:val="24"/>
        </w:rPr>
        <w:t xml:space="preserve">Stärken von UNBOND</w:t>
      </w:r>
      <w:bookmarkEnd w:id="28"/>
    </w:p>
    <w:p>
      <w:pPr>
        <w:spacing w:line="360" w:before="315" w:after="105" w:lineRule="auto"/>
        <w:ind w:left="-30"/>
        <w:jc w:val="left"/>
      </w:pPr>
      <w:bookmarkStart w:id="29" w:name="was_unbond_außergewöhnlich_gut_macht"/>
      <w:r>
        <w:rPr>
          <w:rFonts w:eastAsia="georgia" w:cs="georgia" w:ascii="georgia" w:hAnsi="georgia"/>
          <w:b/>
          <w:color w:val="000000"/>
          <w:sz w:val="24"/>
        </w:rPr>
        <w:t xml:space="preserve">Was UNBOND außergewöhnlich gut macht</w:t>
      </w:r>
      <w:bookmarkEnd w:id="29"/>
    </w:p>
    <w:p>
      <w:pPr>
        <w:spacing w:line="360" w:after="210" w:lineRule="auto"/>
      </w:pPr>
      <w:r>
        <w:rPr>
          <w:rFonts w:eastAsia="georgia" w:cs="georgia" w:ascii="georgia" w:hAnsi="georgia"/>
          <w:b/>
          <w:color w:val="000000"/>
        </w:rPr>
        <w:t xml:space="preserve">1. Queerspezifische Kontextualisierung.</w:t>
      </w:r>
      <w:r>
        <w:rPr>
          <w:rFonts w:eastAsia="georgia" w:cs="georgia" w:ascii="georgia" w:hAnsi="georgia"/>
          <w:color w:val="000000"/>
        </w:rPr>
        <w:t xml:space="preserve"> UNBOND ist eines der wenigen deutschsprachigen Recovery-Programme, das explizit für lesbische und queere Frauen konzipiert ist. Schritt 08 integriert das </w:t>
      </w:r>
      <w:hyperlink r:id="rId119">
        <w:r>
          <w:rPr>
            <w:rFonts w:eastAsia="helvetica neue" w:cs="helvetica neue" w:ascii="helvetica neue" w:hAnsi="helvetica neue"/>
            <w:color w:val="#000"/>
            <w:u w:val="single"/>
          </w:rPr>
          <w:t xml:space="preserve">Minority Stress Model</w:t>
        </w:r>
      </w:hyperlink>
      <w:r>
        <w:rPr>
          <w:rFonts w:eastAsia="georgia" w:cs="georgia" w:ascii="georgia" w:hAnsi="georgia"/>
          <w:color w:val="000000"/>
        </w:rPr>
        <w:t xml:space="preserve"> und queere Beziehungsdynamiken in das Kernangebot – nicht als Fußnote, sondern als eigenständiger Schritt. Das adressiert einen strukturellen Mangel in der Recovery-Landschaft, die überwiegend heteronormativ ausgerichtet ist.</w:t>
      </w:r>
    </w:p>
    <w:p>
      <w:pPr>
        <w:spacing w:line="360" w:after="210" w:lineRule="auto"/>
      </w:pPr>
      <w:r>
        <w:rPr>
          <w:rFonts w:eastAsia="georgia" w:cs="georgia" w:ascii="georgia" w:hAnsi="georgia"/>
          <w:b/>
          <w:color w:val="000000"/>
        </w:rPr>
        <w:t xml:space="preserve">2. Neurobiologische Tiefe.</w:t>
      </w:r>
      <w:r>
        <w:rPr>
          <w:rFonts w:eastAsia="georgia" w:cs="georgia" w:ascii="georgia" w:hAnsi="georgia"/>
          <w:color w:val="000000"/>
        </w:rPr>
        <w:t xml:space="preserve"> Die Integration von </w:t>
      </w:r>
      <w:hyperlink r:id="rId120">
        <w:r>
          <w:rPr>
            <w:rFonts w:eastAsia="helvetica neue" w:cs="helvetica neue" w:ascii="helvetica neue" w:hAnsi="helvetica neue"/>
            <w:color w:val="#000"/>
            <w:u w:val="single"/>
          </w:rPr>
          <w:t xml:space="preserve">Langeslag &amp; Sanchez 2018</w:t>
        </w:r>
      </w:hyperlink>
      <w:r>
        <w:rPr>
          <w:rFonts w:eastAsia="georgia" w:cs="georgia" w:ascii="georgia" w:hAnsi="georgia"/>
          <w:color w:val="000000"/>
        </w:rPr>
        <w:t xml:space="preserve"> (Negative Reappraisal mit EEG-Evidenz), </w:t>
      </w:r>
      <w:hyperlink r:id="rId121">
        <w:r>
          <w:rPr>
            <w:rFonts w:eastAsia="helvetica neue" w:cs="helvetica neue" w:ascii="helvetica neue" w:hAnsi="helvetica neue"/>
            <w:color w:val="#000"/>
            <w:u w:val="single"/>
          </w:rPr>
          <w:t xml:space="preserve">Fisher 2016</w:t>
        </w:r>
      </w:hyperlink>
      <w:r>
        <w:rPr>
          <w:rFonts w:eastAsia="georgia" w:cs="georgia" w:ascii="georgia" w:hAnsi="georgia"/>
          <w:color w:val="000000"/>
        </w:rPr>
        <w:t xml:space="preserve"> (romantische Liebe als Sucht-Phänomen) und </w:t>
      </w:r>
      <w:hyperlink r:id="rId122">
        <w:r>
          <w:rPr>
            <w:rFonts w:eastAsia="helvetica neue" w:cs="helvetica neue" w:ascii="helvetica neue" w:hAnsi="helvetica neue"/>
            <w:color w:val="#000"/>
            <w:u w:val="single"/>
          </w:rPr>
          <w:t xml:space="preserve">Van der Kolk</w:t>
        </w:r>
      </w:hyperlink>
      <w:r>
        <w:rPr>
          <w:rFonts w:eastAsia="georgia" w:cs="georgia" w:ascii="georgia" w:hAnsi="georgia"/>
          <w:color w:val="000000"/>
        </w:rPr>
        <w:t xml:space="preserve"> (Körpergedächtnis) auf einer für Selbsthilfe zugänglichen Ebene ist international vergleichsweise einmalig.</w:t>
      </w:r>
    </w:p>
    <w:p>
      <w:pPr>
        <w:spacing w:line="360" w:after="210" w:lineRule="auto"/>
      </w:pPr>
      <w:r>
        <w:rPr>
          <w:rFonts w:eastAsia="georgia" w:cs="georgia" w:ascii="georgia" w:hAnsi="georgia"/>
          <w:b/>
          <w:color w:val="000000"/>
        </w:rPr>
        <w:t xml:space="preserve">3. Story-basiertes Format (Mary &amp; Sandra).</w:t>
      </w:r>
      <w:r>
        <w:rPr>
          <w:rFonts w:eastAsia="georgia" w:cs="georgia" w:ascii="georgia" w:hAnsi="georgia"/>
          <w:color w:val="000000"/>
        </w:rPr>
        <w:t xml:space="preserve"> Die narrative Struktur – Story → Diagnose → Lösung → Übungen → Deep Dive – schafft emotionale Resonanz, bevor kognitive Inhalte aufgenommen werden. Dieser Ansatz entspricht dem aktuellen Wissensstand über narratives Lernen und ist hervorragend auf Recovery-Kontexte abgestimmt.</w:t>
      </w:r>
    </w:p>
    <w:p>
      <w:pPr>
        <w:spacing w:line="360" w:after="210" w:lineRule="auto"/>
      </w:pPr>
      <w:r>
        <w:rPr>
          <w:rFonts w:eastAsia="georgia" w:cs="georgia" w:ascii="georgia" w:hAnsi="georgia"/>
          <w:b/>
          <w:color w:val="000000"/>
        </w:rPr>
        <w:t xml:space="preserve">4. Polyvagal-Theorie als Fundament.</w:t>
      </w:r>
      <w:r>
        <w:rPr>
          <w:rFonts w:eastAsia="georgia" w:cs="georgia" w:ascii="georgia" w:hAnsi="georgia"/>
          <w:color w:val="000000"/>
        </w:rPr>
        <w:t xml:space="preserve"> Die Integration von </w:t>
      </w:r>
      <w:hyperlink r:id="rId123">
        <w:r>
          <w:rPr>
            <w:rFonts w:eastAsia="helvetica neue" w:cs="helvetica neue" w:ascii="helvetica neue" w:hAnsi="helvetica neue"/>
            <w:color w:val="#000"/>
            <w:u w:val="single"/>
          </w:rPr>
          <w:t xml:space="preserve">Porges' Polyvagal-Theorie</w:t>
        </w:r>
      </w:hyperlink>
      <w:r>
        <w:rPr>
          <w:rFonts w:eastAsia="georgia" w:cs="georgia" w:ascii="georgia" w:hAnsi="georgia"/>
          <w:color w:val="000000"/>
        </w:rPr>
        <w:t xml:space="preserve"> in Kapitel 0 und Schritt 06 – mit konkreten Nervensystem-Tools (Vagus-Reset, 6-Atemzüge-Protokoll) – ist klinisch hochwertig und für Selbsthilfe selten verfügbar.</w:t>
      </w:r>
    </w:p>
    <w:p>
      <w:pPr>
        <w:spacing w:line="360" w:after="210" w:lineRule="auto"/>
      </w:pPr>
      <w:r>
        <w:rPr>
          <w:rFonts w:eastAsia="georgia" w:cs="georgia" w:ascii="georgia" w:hAnsi="georgia"/>
          <w:b/>
          <w:color w:val="000000"/>
        </w:rPr>
        <w:t xml:space="preserve">5. DBT/ACT-Werkzeuge operationalisiert.</w:t>
      </w:r>
      <w:r>
        <w:rPr>
          <w:rFonts w:eastAsia="georgia" w:cs="georgia" w:ascii="georgia" w:hAnsi="georgia"/>
          <w:color w:val="000000"/>
        </w:rPr>
        <w:t xml:space="preserve"> TIPP, STOPP, Urge Surfing, Opposite Action, Kognitive Defusion, Werte-Kompass – UNBOND übersetzt evidenzbasierte klinische Werkzeuge in alltagstaugliche Übungsformate. Viele kommerzielle Programme tun dies nicht mit dieser methodischen Sorgfalt.</w:t>
      </w:r>
    </w:p>
    <w:p>
      <w:pPr>
        <w:spacing w:line="360" w:after="210" w:lineRule="auto"/>
      </w:pPr>
      <w:r>
        <w:rPr>
          <w:rFonts w:eastAsia="georgia" w:cs="georgia" w:ascii="georgia" w:hAnsi="georgia"/>
          <w:b/>
          <w:color w:val="000000"/>
        </w:rPr>
        <w:t xml:space="preserve">6. Metakognitive Integration.</w:t>
      </w:r>
      <w:r>
        <w:rPr>
          <w:rFonts w:eastAsia="georgia" w:cs="georgia" w:ascii="georgia" w:hAnsi="georgia"/>
          <w:color w:val="000000"/>
        </w:rPr>
        <w:t xml:space="preserve"> Das 21-Tage-Negative-Reappraisal-Protokoll in Schritt 03 ist eine methodisch korrekte Umsetzung von Langeslägs Forschungsergebnissen – ein Alleinstellungsmerkmal auf dem Selbsthilfemarkt.</w:t>
      </w:r>
    </w:p>
    <w:p>
      <w:pPr>
        <w:spacing w:line="360" w:after="210" w:lineRule="auto"/>
      </w:pPr>
      <w:r>
        <w:rPr>
          <w:rFonts w:eastAsia="georgia" w:cs="georgia" w:ascii="georgia" w:hAnsi="georgia"/>
          <w:b/>
          <w:color w:val="000000"/>
        </w:rPr>
        <w:t xml:space="preserve">7. Kintsugi-Metapher und Post-Traumatisches Wachstum.</w:t>
      </w:r>
      <w:r>
        <w:rPr>
          <w:rFonts w:eastAsia="georgia" w:cs="georgia" w:ascii="georgia" w:hAnsi="georgia"/>
          <w:color w:val="000000"/>
        </w:rPr>
        <w:t xml:space="preserve"> Der Abschluss mit der Kintsugi-Metapher (Goldene Reparatur) und dem UNBOND Manifest verbindet emotionale Tiefe mit kognitiver Neuausrichtung und bietet einen würdigen Abschlussrahmen.</w:t>
      </w:r>
    </w:p>
    <w:p>
      <w:pPr>
        <w:spacing w:line="360" w:after="210" w:lineRule="auto"/>
      </w:pPr>
      <w:r>
        <w:rPr>
          <w:rFonts w:eastAsia="georgia" w:cs="georgia" w:ascii="georgia" w:hAnsi="georgia"/>
          <w:b/>
          <w:color w:val="000000"/>
        </w:rPr>
        <w:t xml:space="preserve">8. Toxicometer als Diagnostik-Tool.</w:t>
      </w:r>
      <w:r>
        <w:rPr>
          <w:rFonts w:eastAsia="georgia" w:cs="georgia" w:ascii="georgia" w:hAnsi="georgia"/>
          <w:color w:val="000000"/>
        </w:rPr>
        <w:t xml:space="preserve"> Der 25-Fragen-Test mit Routing-Funktion ist ein innovativer Lead-Magnet, der den Nutzerinnen sofort persönliche Relevanz signalisiert und gleichzeitig therapeutisch wertvolles Selbstbewusstsein schafft.</w:t>
      </w:r>
    </w:p>
    <w:p>
      <w:pPr>
        <w:spacing w:line="360" w:before="315" w:after="105" w:lineRule="auto"/>
        <w:ind w:left="-30"/>
        <w:jc w:val="left"/>
      </w:pPr>
      <w:bookmarkStart w:id="30" w:name="unique_selling_points_im_marktvergleich"/>
      <w:r>
        <w:rPr>
          <w:rFonts w:eastAsia="georgia" w:cs="georgia" w:ascii="georgia" w:hAnsi="georgia"/>
          <w:b/>
          <w:color w:val="000000"/>
          <w:sz w:val="24"/>
        </w:rPr>
        <w:t xml:space="preserve">Unique Selling Points im Marktvergleich</w:t>
      </w:r>
      <w:bookmarkEnd w:id="30"/>
    </w:p>
    <w:p>
      <w:pPr>
        <w:numPr>
          <w:ilvl w:val="0"/>
          <w:numId w:val="19"/>
        </w:numPr>
        <w:spacing w:line="360" w:before="105" w:after="105" w:lineRule="auto"/>
      </w:pPr>
      <w:r>
        <w:rPr>
          <w:rFonts w:eastAsia="georgia" w:cs="georgia" w:ascii="georgia" w:hAnsi="georgia"/>
          <w:color w:val="000000"/>
          <w:sz w:val="21"/>
        </w:rPr>
        <w:t xml:space="preserve">Einziges deutschsprachiges Trauma-Recovery-Programm spezifisch für WLW/Lesben</w:t>
      </w:r>
    </w:p>
    <w:p>
      <w:pPr>
        <w:numPr>
          <w:ilvl w:val="0"/>
          <w:numId w:val="19"/>
        </w:numPr>
        <w:spacing w:line="360" w:before="105" w:after="105" w:lineRule="auto"/>
      </w:pPr>
      <w:r>
        <w:rPr>
          <w:rFonts w:eastAsia="georgia" w:cs="georgia" w:ascii="georgia" w:hAnsi="georgia"/>
          <w:color w:val="000000"/>
          <w:sz w:val="21"/>
        </w:rPr>
        <w:t xml:space="preserve">Neurobiologische Fundierung auf akademischem Level (Langeslag, Fisher, Van der Kolk) mit Selbsthilfe-Zugänglichkeit</w:t>
      </w:r>
    </w:p>
    <w:p>
      <w:pPr>
        <w:numPr>
          <w:ilvl w:val="0"/>
          <w:numId w:val="19"/>
        </w:numPr>
        <w:spacing w:line="360" w:before="105" w:after="105" w:lineRule="auto"/>
      </w:pPr>
      <w:r>
        <w:rPr>
          <w:rFonts w:eastAsia="georgia" w:cs="georgia" w:ascii="georgia" w:hAnsi="georgia"/>
          <w:color w:val="000000"/>
          <w:sz w:val="21"/>
        </w:rPr>
        <w:t xml:space="preserve">Story-basiertes Format (Mary &amp; Sandra) als emotionaler Anker durch alle Module</w:t>
      </w:r>
    </w:p>
    <w:p>
      <w:pPr>
        <w:numPr>
          <w:ilvl w:val="0"/>
          <w:numId w:val="19"/>
        </w:numPr>
        <w:spacing w:line="360" w:before="105" w:after="105" w:lineRule="auto"/>
      </w:pPr>
      <w:r>
        <w:rPr>
          <w:rFonts w:eastAsia="georgia" w:cs="georgia" w:ascii="georgia" w:hAnsi="georgia"/>
          <w:color w:val="000000"/>
          <w:sz w:val="21"/>
        </w:rPr>
        <w:t xml:space="preserve">Polyvagal als didaktisches Rückgrat (selten in Selbsthilfe-Formaten)</w:t>
      </w:r>
    </w:p>
    <w:p>
      <w:pPr>
        <w:numPr>
          <w:ilvl w:val="0"/>
          <w:numId w:val="19"/>
        </w:numPr>
        <w:spacing w:line="360" w:before="105" w:after="105" w:lineRule="auto"/>
      </w:pPr>
      <w:r>
        <w:rPr>
          <w:rFonts w:eastAsia="georgia" w:cs="georgia" w:ascii="georgia" w:hAnsi="georgia"/>
          <w:color w:val="000000"/>
          <w:sz w:val="21"/>
        </w:rPr>
        <w:t xml:space="preserve">Klinische Tool-Dichte (TIPP, ACT, EMDR-Butterfly Hug, Metakognition) ohne therapeutische Lizenzvoraussetzung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fazit_empfehlung"/>
      <w:r>
        <w:rPr>
          <w:rFonts w:eastAsia="georgia" w:cs="georgia" w:ascii="georgia" w:hAnsi="georgia"/>
          <w:b/>
          <w:color w:val="000000"/>
          <w:sz w:val="24"/>
        </w:rPr>
        <w:t xml:space="preserve">Fazit &amp; Empfehlung</w:t>
      </w:r>
      <w:bookmarkEnd w:id="31"/>
    </w:p>
    <w:p>
      <w:pPr>
        <w:spacing w:line="360" w:before="315" w:after="105" w:lineRule="auto"/>
        <w:ind w:left="-30"/>
        <w:jc w:val="left"/>
      </w:pPr>
      <w:bookmarkStart w:id="32" w:name="zusammenfassung_der_gap_analyse"/>
      <w:r>
        <w:rPr>
          <w:rFonts w:eastAsia="georgia" w:cs="georgia" w:ascii="georgia" w:hAnsi="georgia"/>
          <w:b/>
          <w:color w:val="000000"/>
          <w:sz w:val="24"/>
        </w:rPr>
        <w:t xml:space="preserve">Zusammenfassung der Gap-Analyse</w:t>
      </w:r>
      <w:bookmarkEnd w:id="32"/>
    </w:p>
    <w:p>
      <w:pPr>
        <w:spacing w:line="360" w:after="210" w:lineRule="auto"/>
      </w:pPr>
      <w:r>
        <w:rPr>
          <w:rFonts w:eastAsia="georgia" w:cs="georgia" w:ascii="georgia" w:hAnsi="georgia"/>
          <w:color w:val="000000"/>
        </w:rPr>
        <w:t xml:space="preserve">UNBOND erreicht eine starke Basisabdeckung von ~72% der evidenzbasierten Anforderungen für ein umfassendes Trauma-Bonding-Recovery-Programm. Die Stärken liegen in der neurobiologischen Fundierung, queerspezifischen Kontextualisierung, methodischen Werkzeugdichte und emotionalen Zugänglichkeit. Die Lücken konzentrieren sich auf drei Bereiche:</w:t>
      </w:r>
    </w:p>
    <w:p>
      <w:pPr>
        <w:numPr>
          <w:ilvl w:val="0"/>
          <w:numId w:val="20"/>
        </w:numPr>
        <w:spacing w:line="360" w:before="105" w:after="105" w:lineRule="auto"/>
      </w:pPr>
      <w:r>
        <w:rPr>
          <w:rFonts w:eastAsia="georgia" w:cs="georgia" w:ascii="georgia" w:hAnsi="georgia"/>
          <w:b/>
          <w:color w:val="000000"/>
          <w:sz w:val="21"/>
        </w:rPr>
        <w:t xml:space="preserve">Tiefenpsychologische Ansätze</w:t>
      </w:r>
      <w:r>
        <w:rPr>
          <w:rFonts w:eastAsia="georgia" w:cs="georgia" w:ascii="georgia" w:hAnsi="georgia"/>
          <w:color w:val="000000"/>
          <w:sz w:val="21"/>
        </w:rPr>
        <w:t xml:space="preserve"> (Schema-Therapie, IFS/Parts Work) – erklären die Wurzeln der Vulnerabilität</w:t>
      </w:r>
    </w:p>
    <w:p>
      <w:pPr>
        <w:numPr>
          <w:ilvl w:val="0"/>
          <w:numId w:val="20"/>
        </w:numPr>
        <w:spacing w:line="360" w:before="105" w:after="105" w:lineRule="auto"/>
      </w:pPr>
      <w:r>
        <w:rPr>
          <w:rFonts w:eastAsia="georgia" w:cs="georgia" w:ascii="georgia" w:hAnsi="georgia"/>
          <w:b/>
          <w:color w:val="000000"/>
          <w:sz w:val="21"/>
        </w:rPr>
        <w:t xml:space="preserve">Spezifische Missbrauchstaktiken</w:t>
      </w:r>
      <w:r>
        <w:rPr>
          <w:rFonts w:eastAsia="georgia" w:cs="georgia" w:ascii="georgia" w:hAnsi="georgia"/>
          <w:color w:val="000000"/>
          <w:sz w:val="21"/>
        </w:rPr>
        <w:t xml:space="preserve"> (Breadcrumbing, Digitale Manipulation, Gaslighting-Alltag) – begleiten die unmittelbare Trennungsphase</w:t>
      </w:r>
    </w:p>
    <w:p>
      <w:pPr>
        <w:numPr>
          <w:ilvl w:val="0"/>
          <w:numId w:val="20"/>
        </w:numPr>
        <w:spacing w:line="360" w:before="105" w:after="105" w:lineRule="auto"/>
      </w:pPr>
      <w:r>
        <w:rPr>
          <w:rFonts w:eastAsia="georgia" w:cs="georgia" w:ascii="georgia" w:hAnsi="georgia"/>
          <w:b/>
          <w:color w:val="000000"/>
          <w:sz w:val="21"/>
        </w:rPr>
        <w:t xml:space="preserve">Emotionale Verarbeitungstiefe</w:t>
      </w:r>
      <w:r>
        <w:rPr>
          <w:rFonts w:eastAsia="georgia" w:cs="georgia" w:ascii="georgia" w:hAnsi="georgia"/>
          <w:color w:val="000000"/>
          <w:sz w:val="21"/>
        </w:rPr>
        <w:t xml:space="preserve"> (Disenfranchised Grief, CFT/Selbstmitgefühl, Trauerarbeit) – ermöglichen nachhaltige Heilung jenseits der kognitiven Ebene</w:t>
      </w:r>
    </w:p>
    <w:p>
      <w:pPr>
        <w:spacing w:line="360" w:before="315" w:after="105" w:lineRule="auto"/>
        <w:ind w:left="-30"/>
        <w:jc w:val="left"/>
      </w:pPr>
      <w:bookmarkStart w:id="33" w:name="empfohlene_reihenfolge_der_ergänzungen"/>
      <w:r>
        <w:rPr>
          <w:rFonts w:eastAsia="georgia" w:cs="georgia" w:ascii="georgia" w:hAnsi="georgia"/>
          <w:b/>
          <w:color w:val="000000"/>
          <w:sz w:val="24"/>
        </w:rPr>
        <w:t xml:space="preserve">Empfohlene Reihenfolge der Ergänzungen</w:t>
      </w:r>
      <w:bookmarkEnd w:id="33"/>
    </w:p>
    <w:p>
      <w:pPr>
        <w:spacing w:line="360" w:after="210" w:lineRule="auto"/>
      </w:pPr>
      <w:r>
        <w:rPr>
          <w:rFonts w:eastAsia="georgia" w:cs="georgia" w:ascii="georgia" w:hAnsi="georgia"/>
          <w:b/>
          <w:color w:val="000000"/>
        </w:rPr>
        <w:t xml:space="preserve">Phase 1 – Sofortmaßnahmen (Woche 1–4):</w:t>
      </w:r>
      <w:r>
        <w:rPr>
          <w:rFonts w:eastAsia="georgia" w:cs="georgia" w:ascii="georgia" w:hAnsi="georgia"/>
          <w:color w:val="000000"/>
        </w:rPr>
        <w:br w:type="textWrapping"/>
      </w:r>
      <w:r>
        <w:rPr>
          <w:rFonts w:eastAsia="georgia" w:cs="georgia" w:ascii="georgia" w:hAnsi="georgia"/>
          <w:color w:val="000000"/>
        </w:rPr>
        <w:t xml:space="preserve">Priorität 🔴 HOCH: Breadcrumbing-Modul (S04 Erweiterung), Behördenmodul (Bonus D), Digitale Manipulation (S04/S05 Erweiterung). Diese Maßnahmen adressieren akute Sicherheits- und Rückfallprävention und haben direkten Einfluss auf die Recovery-Erfolgschancen in der Frühphase.</w:t>
      </w:r>
    </w:p>
    <w:p>
      <w:pPr>
        <w:spacing w:line="360" w:after="210" w:lineRule="auto"/>
      </w:pPr>
      <w:r>
        <w:rPr>
          <w:rFonts w:eastAsia="georgia" w:cs="georgia" w:ascii="georgia" w:hAnsi="georgia"/>
          <w:b/>
          <w:color w:val="000000"/>
        </w:rPr>
        <w:t xml:space="preserve">Phase 2 – Kurzfristige Ergänzungen (Monat 1–2):</w:t>
      </w:r>
      <w:r>
        <w:rPr>
          <w:rFonts w:eastAsia="georgia" w:cs="georgia" w:ascii="georgia" w:hAnsi="georgia"/>
          <w:color w:val="000000"/>
        </w:rPr>
        <w:br w:type="textWrapping"/>
      </w:r>
      <w:r>
        <w:rPr>
          <w:rFonts w:eastAsia="georgia" w:cs="georgia" w:ascii="georgia" w:hAnsi="georgia"/>
          <w:color w:val="000000"/>
        </w:rPr>
        <w:t xml:space="preserve">Priorität 🟡 MITTEL: Gaslighting-Alltagsprotokoll (S03), Love Addiction vollständig (Kap. 0.5), Disenfranchised Grief (neues Übergangsmodul S03-S04), CFT/Selbstmitgefühl (S09 Erweiterung), Doppelstandard-Tool (S03/S09). Diese Maßnahmen vertiefen die emotionale Verarbeitung und adressieren häufige Recovery-Blockaden.</w:t>
      </w:r>
    </w:p>
    <w:p>
      <w:pPr>
        <w:spacing w:line="360" w:after="210" w:lineRule="auto"/>
      </w:pPr>
      <w:r>
        <w:rPr>
          <w:rFonts w:eastAsia="georgia" w:cs="georgia" w:ascii="georgia" w:hAnsi="georgia"/>
          <w:b/>
          <w:color w:val="000000"/>
        </w:rPr>
        <w:t xml:space="preserve">Phase 3 – Mittelfristige Ergänzungen (Monat 2–4):</w:t>
      </w:r>
      <w:r>
        <w:rPr>
          <w:rFonts w:eastAsia="georgia" w:cs="georgia" w:ascii="georgia" w:hAnsi="georgia"/>
          <w:color w:val="000000"/>
        </w:rPr>
        <w:br w:type="textWrapping"/>
      </w:r>
      <w:r>
        <w:rPr>
          <w:rFonts w:eastAsia="georgia" w:cs="georgia" w:ascii="georgia" w:hAnsi="georgia"/>
          <w:color w:val="000000"/>
        </w:rPr>
        <w:t xml:space="preserve">Priorität 🟡 MITTEL: Schema-Therapie-Grundlagen (S09), IFS/Parts Work (S09 oder Bonus A), Radical Acceptance (S03/S07), Szene-Dynamiken (S08), Scham+ADHS (S09), Love Addict/Avoidant-Tango vollständig.</w:t>
      </w:r>
    </w:p>
    <w:p>
      <w:pPr>
        <w:spacing w:line="360" w:after="210" w:lineRule="auto"/>
      </w:pPr>
      <w:r>
        <w:rPr>
          <w:rFonts w:eastAsia="georgia" w:cs="georgia" w:ascii="georgia" w:hAnsi="georgia"/>
          <w:b/>
          <w:color w:val="000000"/>
        </w:rPr>
        <w:t xml:space="preserve">Phase 4 – Strukturelle Vertiefung:</w:t>
      </w:r>
      <w:r>
        <w:rPr>
          <w:rFonts w:eastAsia="georgia" w:cs="georgia" w:ascii="georgia" w:hAnsi="georgia"/>
          <w:color w:val="000000"/>
        </w:rPr>
        <w:br w:type="textWrapping"/>
      </w:r>
      <w:r>
        <w:rPr>
          <w:rFonts w:eastAsia="georgia" w:cs="georgia" w:ascii="georgia" w:hAnsi="georgia"/>
          <w:color w:val="000000"/>
        </w:rPr>
        <w:t xml:space="preserve">Priorität 🟢 NIEDRIG: Internalisierte Homophobie (S08), Täterpsychologie-queere Adaption (Kap. 0.3), Healthy Relationship Skills (neues Abschlussmodul), Low Contact bei Kindern (S04).</w:t>
      </w:r>
    </w:p>
    <w:p>
      <w:pPr>
        <w:spacing w:line="360" w:before="315" w:after="105" w:lineRule="auto"/>
        <w:ind w:left="-30"/>
        <w:jc w:val="left"/>
      </w:pPr>
      <w:bookmarkStart w:id="34" w:name="geschätzte_abdeckung_nach_umsetzung"/>
      <w:r>
        <w:rPr>
          <w:rFonts w:eastAsia="georgia" w:cs="georgia" w:ascii="georgia" w:hAnsi="georgia"/>
          <w:b/>
          <w:color w:val="000000"/>
          <w:sz w:val="24"/>
        </w:rPr>
        <w:t xml:space="preserve">Geschätzte Abdeckung nach Umsetzung</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Szenario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Geschätzte Abdeckung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Aktueller Stand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Nach Phase 1 (Sofortmaßnahmen)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Nach Phase 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Nach Phase 1+2+3 (alle Priorität MITTEL)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Nach vollständiger Umsetzung aller 15 Lücken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~96%</w:t>
            </w:r>
          </w:p>
        </w:tc>
      </w:tr>
    </w:tbl>
    <w:p>
      <w:pPr>
        <w:spacing w:lineRule="auto"/>
      </w:pPr>
    </w:p>
    <w:p>
      <w:pPr>
        <w:spacing w:line="360" w:after="210" w:lineRule="auto"/>
      </w:pPr>
      <w:r>
        <w:rPr>
          <w:rFonts w:eastAsia="georgia" w:cs="georgia" w:ascii="georgia" w:hAnsi="georgia"/>
          <w:color w:val="000000"/>
        </w:rPr>
        <w:t xml:space="preserve">Eine Abdeckung von 94–96% würde UNBOND an den Standard evidenzbasierter klinischer Programme (nach </w:t>
      </w:r>
      <w:hyperlink r:id="rId124">
        <w:r>
          <w:rPr>
            <w:rFonts w:eastAsia="helvetica neue" w:cs="helvetica neue" w:ascii="helvetica neue" w:hAnsi="helvetica neue"/>
            <w:color w:val="#000"/>
            <w:u w:val="single"/>
          </w:rPr>
          <w:t xml:space="preserve">APA 2024 HISTORY-Framework</w:t>
        </w:r>
      </w:hyperlink>
      <w:r>
        <w:rPr>
          <w:rFonts w:eastAsia="georgia" w:cs="georgia" w:ascii="georgia" w:hAnsi="georgia"/>
          <w:color w:val="000000"/>
        </w:rPr>
        <w:t xml:space="preserve">) heranführen – mit dem einzigartigen Vorteil der queerspezifischen Ausrichtung und der Selbsthilfe-Zugänglichkeit. Damit wäre UNBOND das umfassendste deutschsprachige Programm seiner Art auf dem Markt.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Dokument erstellt 2025 auf Basis der Quelldateien: unbond_current_structure.md, Marketinganalyse.txt, trauma_frameworks_research.md.</w:t>
      </w:r>
      <w:r>
        <w:rPr>
          <w:rFonts w:eastAsia="georgia" w:cs="georgia" w:ascii="georgia" w:hAnsi="georgia"/>
          <w:color w:val="000000"/>
        </w:rPr>
        <w:br w:type="textWrapping"/>
      </w:r>
      <w:r>
        <w:rPr>
          <w:rFonts w:eastAsia="georgia" w:cs="georgia" w:ascii="georgia" w:hAnsi="georgia"/>
          <w:i/>
          <w:color w:val="000000"/>
        </w:rPr>
        <w:t xml:space="preserve">Alle zitierten URLs entstammen den Quelldokumenten und verifizierten Rechercheergebnissen.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de-DE"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bpp.org/newsletter-post/new-professional-practice-guideline-for-adults-with-complex-trauma-histories/" TargetMode="External"/><Relationship Id="rId6" Type="http://schemas.openxmlformats.org/officeDocument/2006/relationships/hyperlink" Target="https://www.lacheim.org/wp-content/uploads/2023/12/Judith-Herman-Trauma-and-Recovery.pdf" TargetMode="External"/><Relationship Id="rId7" Type="http://schemas.openxmlformats.org/officeDocument/2006/relationships/hyperlink" Target="https://www.findyourbase.com/blog/11/2025/dr-judith-hermans-three-stages-of-trauma-treatment-in-practice" TargetMode="External"/><Relationship Id="rId8" Type="http://schemas.openxmlformats.org/officeDocument/2006/relationships/hyperlink" Target="https://www.besselvanderkolk.com/resources/the-body-keeps-the-score" TargetMode="External"/><Relationship Id="rId9" Type="http://schemas.openxmlformats.org/officeDocument/2006/relationships/hyperlink" Target="https://tennesseebehavioralhealth.com/blog/dbt-for-trauma/" TargetMode="External"/><Relationship Id="rId10" Type="http://schemas.openxmlformats.org/officeDocument/2006/relationships/hyperlink" Target="https://traumahealing.org/se-101/" TargetMode="External"/><Relationship Id="rId11" Type="http://schemas.openxmlformats.org/officeDocument/2006/relationships/hyperlink" Target="https://www.polyvagalinstitute.org" TargetMode="External"/><Relationship Id="rId12" Type="http://schemas.openxmlformats.org/officeDocument/2006/relationships/hyperlink" Target="https://www.lacheim.org/wp-content/uploads/2023/12/Judith-Herman-Trauma-and-Recovery.pdf" TargetMode="External"/><Relationship Id="rId13" Type="http://schemas.openxmlformats.org/officeDocument/2006/relationships/hyperlink" Target="https://healingtreenonprofit.org/wp-content/uploads/2016/01/Trauma-Bonds-by-Patrick-Carnes-1.pdf" TargetMode="External"/><Relationship Id="rId14" Type="http://schemas.openxmlformats.org/officeDocument/2006/relationships/hyperlink" Target="https://www.drpatrickcarnes.com/the-betrayal-bond" TargetMode="External"/><Relationship Id="rId15" Type="http://schemas.openxmlformats.org/officeDocument/2006/relationships/hyperlink" Target="https://www.mentalhealthnewsradionetwork.com/healing-our-addiction-to-the-narcissist-an-interview-with-shahida-arabi1/" TargetMode="External"/><Relationship Id="rId16" Type="http://schemas.openxmlformats.org/officeDocument/2006/relationships/hyperlink" Target="https://www.drpatrickcarnes.com/the-betrayal-bond" TargetMode="External"/><Relationship Id="rId17" Type="http://schemas.openxmlformats.org/officeDocument/2006/relationships/hyperlink" Target="https://healingtreenonprofit.org/wp-content/uploads/2016/01/Trauma-Bonds-by-Patrick-Carnes-1.pdf" TargetMode="External"/><Relationship Id="rId18" Type="http://schemas.openxmlformats.org/officeDocument/2006/relationships/hyperlink" Target="https://www.mentalhealthnewsradionetwork.com/healing-our-addiction-to-the-narcissist-an-interview-with-shahida-arabi1/" TargetMode="External"/><Relationship Id="rId19" Type="http://schemas.openxmlformats.org/officeDocument/2006/relationships/hyperlink" Target="https://pmc.ncbi.nlm.nih.gov/articles/PMC4861725/" TargetMode="External"/><Relationship Id="rId20" Type="http://schemas.openxmlformats.org/officeDocument/2006/relationships/hyperlink" Target="https://tennesseebehavioralhealth.com/blog/dbt-for-trauma/" TargetMode="External"/><Relationship Id="rId21" Type="http://schemas.openxmlformats.org/officeDocument/2006/relationships/hyperlink" Target="http://ndl.ethernet.edu.et/bitstream/123456789/42279/1/29.Shannon%20Thomas.pdf" TargetMode="External"/><Relationship Id="rId22" Type="http://schemas.openxmlformats.org/officeDocument/2006/relationships/hyperlink" Target="https://www.mentalhealthnewsradionetwork.com/healing-our-addiction-to-the-narcissist-an-interview-with-shahida-arabi1/" TargetMode="External"/><Relationship Id="rId23" Type="http://schemas.openxmlformats.org/officeDocument/2006/relationships/hyperlink" Target="https://bayareacbtcenter.com/emdr-for-betrayal-trauma/" TargetMode="External"/><Relationship Id="rId24" Type="http://schemas.openxmlformats.org/officeDocument/2006/relationships/hyperlink" Target="https://mindfulsoulwellbeing.com/emdr-therapy-for-relational-trauma-how-healing-the-past-transforms-your-relationships/" TargetMode="External"/><Relationship Id="rId25" Type="http://schemas.openxmlformats.org/officeDocument/2006/relationships/hyperlink" Target="https://bayareacbtcenter.com/emdr-for-betrayal-trauma/" TargetMode="External"/><Relationship Id="rId26" Type="http://schemas.openxmlformats.org/officeDocument/2006/relationships/hyperlink" Target="https://wmhcny.org/s/in-person-training-with-dr-ramani" TargetMode="External"/><Relationship Id="rId27" Type="http://schemas.openxmlformats.org/officeDocument/2006/relationships/hyperlink" Target="https://wmhcny.org/s/in-person-training-with-dr-ramani" TargetMode="External"/><Relationship Id="rId28" Type="http://schemas.openxmlformats.org/officeDocument/2006/relationships/hyperlink" Target="https://www.nextmissionrecovery.com/blog/acceptance-commitment-therapy-act" TargetMode="External"/><Relationship Id="rId29" Type="http://schemas.openxmlformats.org/officeDocument/2006/relationships/hyperlink" Target="https://www.nextmissionrecovery.com/blog/acceptance-commitment-therapy-act" TargetMode="External"/><Relationship Id="rId30" Type="http://schemas.openxmlformats.org/officeDocument/2006/relationships/hyperlink" Target="http://ndl.ethernet.edu.et/bitstream/123456789/42279/1/29.Shannon%20Thomas.pdf" TargetMode="External"/><Relationship Id="rId31" Type="http://schemas.openxmlformats.org/officeDocument/2006/relationships/hyperlink" Target="https://tennesseebehavioralhealth.com/blog/dbt-for-trauma/" TargetMode="External"/><Relationship Id="rId32" Type="http://schemas.openxmlformats.org/officeDocument/2006/relationships/hyperlink" Target="https://wmhcny.org/s/in-person-training-with-dr-ramani" TargetMode="External"/><Relationship Id="rId33" Type="http://schemas.openxmlformats.org/officeDocument/2006/relationships/hyperlink" Target="https://www.besselvanderkolk.com/resources/the-body-keeps-the-score" TargetMode="External"/><Relationship Id="rId34" Type="http://schemas.openxmlformats.org/officeDocument/2006/relationships/hyperlink" Target="https://traumahealing.org/se-101/" TargetMode="External"/><Relationship Id="rId35" Type="http://schemas.openxmlformats.org/officeDocument/2006/relationships/hyperlink" Target="https://www.polyvagalinstitute.org" TargetMode="External"/><Relationship Id="rId36" Type="http://schemas.openxmlformats.org/officeDocument/2006/relationships/hyperlink" Target="https://www.drpatrickcarnes.com/the-betrayal-bond" TargetMode="External"/><Relationship Id="rId37" Type="http://schemas.openxmlformats.org/officeDocument/2006/relationships/hyperlink" Target="https://www.drcraigmalkin.com" TargetMode="External"/><Relationship Id="rId38" Type="http://schemas.openxmlformats.org/officeDocument/2006/relationships/hyperlink" Target="https://tennesseebehavioralhealth.com/blog/dbt-for-trauma/" TargetMode="External"/><Relationship Id="rId39" Type="http://schemas.openxmlformats.org/officeDocument/2006/relationships/hyperlink" Target="https://www.themeadows.com/blog/the-co-addicted-tango-pia-mellody-s-theory-of-love-addiction-and-love-avoidance/" TargetMode="External"/><Relationship Id="rId40" Type="http://schemas.openxmlformats.org/officeDocument/2006/relationships/hyperlink" Target="https://heatherhayes.com/the-co-addicted-tango-a-look-at-pia-mellodys-theory-of-love-addiction-and-love-avoidance/" TargetMode="External"/><Relationship Id="rId41" Type="http://schemas.openxmlformats.org/officeDocument/2006/relationships/hyperlink" Target="https://www.drpatrickcarnes.com/the-betrayal-bond" TargetMode="External"/><Relationship Id="rId42" Type="http://schemas.openxmlformats.org/officeDocument/2006/relationships/hyperlink" Target="https://pmc.ncbi.nlm.nih.gov/articles/PMC4861725/" TargetMode="External"/><Relationship Id="rId43" Type="http://schemas.openxmlformats.org/officeDocument/2006/relationships/hyperlink" Target="https://www.mentalhealthnewsradionetwork.com/healing-our-addiction-to-the-narcissist-an-interview-with-shahida-arabi1/" TargetMode="External"/><Relationship Id="rId44" Type="http://schemas.openxmlformats.org/officeDocument/2006/relationships/hyperlink" Target="https://blogs.umsl.edu/news/2018/06/01/sandra-langeslag-breakups/" TargetMode="External"/><Relationship Id="rId45" Type="http://schemas.openxmlformats.org/officeDocument/2006/relationships/hyperlink" Target="https://schematherapytraining.us/2024/08/06/jeffrey-youngs-schema-focused-therapy-understanding-key-concepts/" TargetMode="External"/><Relationship Id="rId46" Type="http://schemas.openxmlformats.org/officeDocument/2006/relationships/hyperlink" Target="https://www.themeadows.com/blog/the-co-addicted-tango-pia-mellody-s-theory-of-love-addiction-and-love-avoidance/" TargetMode="External"/><Relationship Id="rId47" Type="http://schemas.openxmlformats.org/officeDocument/2006/relationships/hyperlink" Target="https://schematherapytraining.us/2024/08/06/jeffrey-youngs-schema-focused-therapy-understanding-key-concepts/" TargetMode="External"/><Relationship Id="rId48" Type="http://schemas.openxmlformats.org/officeDocument/2006/relationships/hyperlink" Target="https://schematherapytraining.us/2024/08/06/jeffrey-youngs-schema-focused-therapy-understanding-key-concepts/" TargetMode="External"/><Relationship Id="rId49" Type="http://schemas.openxmlformats.org/officeDocument/2006/relationships/hyperlink" Target="https://www.themeadows.com/blog/the-co-addicted-tango-pia-mellody-s-theory-of-love-addiction-and-love-avoidance/" TargetMode="External"/><Relationship Id="rId50" Type="http://schemas.openxmlformats.org/officeDocument/2006/relationships/hyperlink" Target="https://iptrauma.org/docs/evidence-based-trauma-therapies-and-models/internal-family-systems-ifs-therapy/" TargetMode="External"/><Relationship Id="rId51" Type="http://schemas.openxmlformats.org/officeDocument/2006/relationships/hyperlink" Target="https://traumasolutions.com/healing-attachment-trauma-through-internal-family-systems/" TargetMode="External"/><Relationship Id="rId52" Type="http://schemas.openxmlformats.org/officeDocument/2006/relationships/hyperlink" Target="https://traumasolutions.com/healing-attachment-trauma-through-internal-family-systems/" TargetMode="External"/><Relationship Id="rId53" Type="http://schemas.openxmlformats.org/officeDocument/2006/relationships/hyperlink" Target="https://www.thetherapyspace.co/blog/what-is-compassion-focused-therapy-cft----healing-shame-self-criticism-trauma" TargetMode="External"/><Relationship Id="rId54" Type="http://schemas.openxmlformats.org/officeDocument/2006/relationships/hyperlink" Target="https://mindfulspark.org/2024/08/07/compassion-focused-therapy-a-path-to-mental-health-and-trauma-recovery/" TargetMode="External"/><Relationship Id="rId55" Type="http://schemas.openxmlformats.org/officeDocument/2006/relationships/hyperlink" Target="https://self-compassion.org" TargetMode="External"/><Relationship Id="rId56" Type="http://schemas.openxmlformats.org/officeDocument/2006/relationships/hyperlink" Target="https://www.thetherapyspace.co/blog/what-is-compassion-focused-therapy-cft----healing-shame-self-criticism-trauma" TargetMode="External"/><Relationship Id="rId57" Type="http://schemas.openxmlformats.org/officeDocument/2006/relationships/hyperlink" Target="https://www.lacheim.org/wp-content/uploads/2023/12/Judith-Herman-Trauma-and-Recovery.pdf" TargetMode="External"/><Relationship Id="rId58" Type="http://schemas.openxmlformats.org/officeDocument/2006/relationships/hyperlink" Target="http://ndl.ethernet.edu.et/bitstream/123456789/42279/1/29.Shannon%20Thomas.pdf" TargetMode="External"/><Relationship Id="rId59" Type="http://schemas.openxmlformats.org/officeDocument/2006/relationships/hyperlink" Target="https://www.drpatrickcarnes.com/the-betrayal-bond" TargetMode="External"/><Relationship Id="rId60" Type="http://schemas.openxmlformats.org/officeDocument/2006/relationships/hyperlink" Target="https://pmc.ncbi.nlm.nih.gov/articles/PMC2072932/" TargetMode="External"/><Relationship Id="rId61" Type="http://schemas.openxmlformats.org/officeDocument/2006/relationships/hyperlink" Target="https://www.findyourbase.com/blog/11/2025/dr-judith-hermans-three-stages-of-trauma-treatment-in-practice" TargetMode="External"/><Relationship Id="rId62" Type="http://schemas.openxmlformats.org/officeDocument/2006/relationships/hyperlink" Target="https://www.findyourbase.com/blog/11/2025/dr-judith-hermans-three-stages-of-trauma-treatment-in-practice" TargetMode="External"/><Relationship Id="rId63" Type="http://schemas.openxmlformats.org/officeDocument/2006/relationships/hyperlink" Target="https://wmhcny.org/s/in-person-training-with-dr-ramani" TargetMode="External"/><Relationship Id="rId64" Type="http://schemas.openxmlformats.org/officeDocument/2006/relationships/hyperlink" Target="http://ndl.ethernet.edu.et/bitstream/123456789/42279/1/29.Shannon%20Thomas.pdf" TargetMode="External"/><Relationship Id="rId65" Type="http://schemas.openxmlformats.org/officeDocument/2006/relationships/hyperlink" Target="https://www.ananiasfoundation.org/why-does-he-do-that/" TargetMode="External"/><Relationship Id="rId66" Type="http://schemas.openxmlformats.org/officeDocument/2006/relationships/hyperlink" Target="https://www.ananiasfoundation.org/why-does-he-do-that/" TargetMode="External"/><Relationship Id="rId67" Type="http://schemas.openxmlformats.org/officeDocument/2006/relationships/hyperlink" Target="https://wmhcny.org/s/in-person-training-with-dr-ramani" TargetMode="External"/><Relationship Id="rId68" Type="http://schemas.openxmlformats.org/officeDocument/2006/relationships/hyperlink" Target="https://tennesseebehavioralhealth.com/blog/dbt-for-trauma/" TargetMode="External"/><Relationship Id="rId69" Type="http://schemas.openxmlformats.org/officeDocument/2006/relationships/hyperlink" Target="https://www.besselvanderkolk.com/resources/the-body-keeps-the-score" TargetMode="External"/><Relationship Id="rId70" Type="http://schemas.openxmlformats.org/officeDocument/2006/relationships/hyperlink" Target="https://pmc.ncbi.nlm.nih.gov/articles/PMC6450467/" TargetMode="External"/><Relationship Id="rId71" Type="http://schemas.openxmlformats.org/officeDocument/2006/relationships/hyperlink" Target="https://pmc.ncbi.nlm.nih.gov/articles/PMC2072932/" TargetMode="External"/><Relationship Id="rId72" Type="http://schemas.openxmlformats.org/officeDocument/2006/relationships/hyperlink" Target="https://pmc.ncbi.nlm.nih.gov/articles/PMC2072932/" TargetMode="External"/><Relationship Id="rId73" Type="http://schemas.openxmlformats.org/officeDocument/2006/relationships/hyperlink" Target="https://pmc.ncbi.nlm.nih.gov/articles/PMC11632674/" TargetMode="External"/><Relationship Id="rId74" Type="http://schemas.openxmlformats.org/officeDocument/2006/relationships/hyperlink" Target="https://pmc.ncbi.nlm.nih.gov/articles/PMC2072932/" TargetMode="External"/><Relationship Id="rId75" Type="http://schemas.openxmlformats.org/officeDocument/2006/relationships/hyperlink" Target="https://files.eric.ed.gov/fulltext/ED288136.pdf" TargetMode="External"/><Relationship Id="rId76" Type="http://schemas.openxmlformats.org/officeDocument/2006/relationships/hyperlink" Target="https://www.wcwonline.org/vmfiles/42sc.pdf" TargetMode="External"/><Relationship Id="rId77" Type="http://schemas.openxmlformats.org/officeDocument/2006/relationships/hyperlink" Target="http://ndl.ethernet.edu.et/bitstream/123456789/42279/1/29.Shannon%20Thomas.pdf" TargetMode="External"/><Relationship Id="rId78" Type="http://schemas.openxmlformats.org/officeDocument/2006/relationships/hyperlink" Target="https://www.ananiasfoundation.org/why-does-he-do-that/" TargetMode="External"/><Relationship Id="rId79" Type="http://schemas.openxmlformats.org/officeDocument/2006/relationships/hyperlink" Target="https://www.ananiasfoundation.org/why-does-he-do-that/" TargetMode="External"/><Relationship Id="rId80" Type="http://schemas.openxmlformats.org/officeDocument/2006/relationships/hyperlink" Target="https://abpp.org/newsletter-post/new-professional-practice-guideline-for-adults-with-complex-trauma-histories/" TargetMode="External"/><Relationship Id="rId81" Type="http://schemas.openxmlformats.org/officeDocument/2006/relationships/hyperlink" Target="https://www.reddit.com/r/lesbianabusesurvivors/rising/" TargetMode="External"/><Relationship Id="rId82" Type="http://schemas.openxmlformats.org/officeDocument/2006/relationships/hyperlink" Target="https://www.mentalhealthnewsradionetwork.com/healing-our-addiction-to-the-narcissist-an-interview-with-shahida-arabi1/" TargetMode="External"/><Relationship Id="rId83" Type="http://schemas.openxmlformats.org/officeDocument/2006/relationships/hyperlink" Target="https://www.ananiasfoundation.org/why-does-he-do-that/" TargetMode="External"/><Relationship Id="rId84" Type="http://schemas.openxmlformats.org/officeDocument/2006/relationships/hyperlink" Target="https://www.reddit.com/r/actuallesbians/comments/pc0l51/i_feel_really_uncomfortable_with_the_uhaul_clingy/" TargetMode="External"/><Relationship Id="rId85" Type="http://schemas.openxmlformats.org/officeDocument/2006/relationships/hyperlink" Target="https://www.themeadows.com/blog/the-co-addicted-tango-pia-mellody-s-theory-of-love-addiction-and-love-avoidance/" TargetMode="External"/><Relationship Id="rId86" Type="http://schemas.openxmlformats.org/officeDocument/2006/relationships/hyperlink" Target="https://www.drpatrickcarnes.com/the-betrayal-bond" TargetMode="External"/><Relationship Id="rId87" Type="http://schemas.openxmlformats.org/officeDocument/2006/relationships/hyperlink" Target="https://mindfulspark.org/2024/08/07/compassion-focused-therapy-a-path-to-mental-health-and-trauma-recovery/" TargetMode="External"/><Relationship Id="rId88" Type="http://schemas.openxmlformats.org/officeDocument/2006/relationships/hyperlink" Target="https://pmc.ncbi.nlm.nih.gov/articles/PMC2072932/" TargetMode="External"/><Relationship Id="rId89" Type="http://schemas.openxmlformats.org/officeDocument/2006/relationships/hyperlink" Target="https://files.eric.ed.gov/fulltext/ED288136.pdf" TargetMode="External"/><Relationship Id="rId90" Type="http://schemas.openxmlformats.org/officeDocument/2006/relationships/hyperlink" Target="https://www.reddit.com/r/actuallesbians/comments/pc0l51/i_feel_really_uncomfortable_with_the_uhaul_clingy/" TargetMode="External"/><Relationship Id="rId91" Type="http://schemas.openxmlformats.org/officeDocument/2006/relationships/hyperlink" Target="https://wmhcny.org/s/in-person-training-with-dr-ramani" TargetMode="External"/><Relationship Id="rId92" Type="http://schemas.openxmlformats.org/officeDocument/2006/relationships/hyperlink" Target="https://www.drcraigmalkin.com" TargetMode="External"/><Relationship Id="rId93" Type="http://schemas.openxmlformats.org/officeDocument/2006/relationships/hyperlink" Target="https://www.reddit.com/r/LesbianActually/comments/1930jtt/trying_to_date_after_toxic_ex/" TargetMode="External"/><Relationship Id="rId94" Type="http://schemas.openxmlformats.org/officeDocument/2006/relationships/hyperlink" Target="https://www.ananiasfoundation.org/why-does-he-do-that/" TargetMode="External"/><Relationship Id="rId95" Type="http://schemas.openxmlformats.org/officeDocument/2006/relationships/hyperlink" Target="https://wmhcny.org/s/in-person-training-with-dr-ramani" TargetMode="External"/><Relationship Id="rId96" Type="http://schemas.openxmlformats.org/officeDocument/2006/relationships/hyperlink" Target="https://www.reddit.com/r/latebloomerlesbians/comments/v3g36i/dodging_trauma_bonds/" TargetMode="External"/><Relationship Id="rId97" Type="http://schemas.openxmlformats.org/officeDocument/2006/relationships/hyperlink" Target="https://www.mentalhealthnewsradionetwork.com/healing-our-addiction-to-the-narcissist-an-interview-with-shahida-arabi1/" TargetMode="External"/><Relationship Id="rId98" Type="http://schemas.openxmlformats.org/officeDocument/2006/relationships/hyperlink" Target="https://pmc.ncbi.nlm.nih.gov/articles/PMC4861725/" TargetMode="External"/><Relationship Id="rId99" Type="http://schemas.openxmlformats.org/officeDocument/2006/relationships/hyperlink" Target="https://www.tiktok.com/discover/my-ex-keeps-breadcrumbing-as-a-wlw" TargetMode="External"/><Relationship Id="rId100" Type="http://schemas.openxmlformats.org/officeDocument/2006/relationships/hyperlink" Target="https://schematherapytraining.us/2024/08/06/jeffrey-youngs-schema-focused-therapy-understanding-key-concepts/" TargetMode="External"/><Relationship Id="rId101" Type="http://schemas.openxmlformats.org/officeDocument/2006/relationships/hyperlink" Target="https://www.themeadows.com/blog/the-co-addicted-tango-pia-mellody-s-theory-of-love-addiction-and-love-avoidance/" TargetMode="External"/><Relationship Id="rId102" Type="http://schemas.openxmlformats.org/officeDocument/2006/relationships/hyperlink" Target="https://iptrauma.org/docs/evidence-based-trauma-therapies-and-models/internal-family-systems-ifs-therapy/" TargetMode="External"/><Relationship Id="rId103" Type="http://schemas.openxmlformats.org/officeDocument/2006/relationships/hyperlink" Target="https://www.besselvanderkolk.com/resources/the-body-keeps-the-score" TargetMode="External"/><Relationship Id="rId104" Type="http://schemas.openxmlformats.org/officeDocument/2006/relationships/hyperlink" Target="https://www.thetherapyspace.co/blog/what-is-compassion-focused-therapy-cft----healing-shame-self-criticism-trauma" TargetMode="External"/><Relationship Id="rId105" Type="http://schemas.openxmlformats.org/officeDocument/2006/relationships/hyperlink" Target="https://self-compassion.org" TargetMode="External"/><Relationship Id="rId106" Type="http://schemas.openxmlformats.org/officeDocument/2006/relationships/hyperlink" Target="https://wmhcny.org/s/in-person-training-with-dr-ramani" TargetMode="External"/><Relationship Id="rId107" Type="http://schemas.openxmlformats.org/officeDocument/2006/relationships/hyperlink" Target="https://www.lacheim.org/wp-content/uploads/2023/12/Judith-Herman-Trauma-and-Recovery.pdf" TargetMode="External"/><Relationship Id="rId108" Type="http://schemas.openxmlformats.org/officeDocument/2006/relationships/hyperlink" Target="https://www.themeadows.com/blog/the-co-addicted-tango-pia-mellody-s-theory-of-love-addiction-and-love-avoidance/" TargetMode="External"/><Relationship Id="rId109" Type="http://schemas.openxmlformats.org/officeDocument/2006/relationships/hyperlink" Target="https://heatherhayes.com/the-co-addicted-tango-a-look-at-pia-mellodys-theory-of-love-addiction-and-love-avoidance/" TargetMode="External"/><Relationship Id="rId110" Type="http://schemas.openxmlformats.org/officeDocument/2006/relationships/hyperlink" Target="https://wmhcny.org/s/in-person-training-with-dr-ramani" TargetMode="External"/><Relationship Id="rId111" Type="http://schemas.openxmlformats.org/officeDocument/2006/relationships/hyperlink" Target="https://tennesseebehavioralhealth.com/blog/dbt-for-trauma/" TargetMode="External"/><Relationship Id="rId112" Type="http://schemas.openxmlformats.org/officeDocument/2006/relationships/hyperlink" Target="http://ndl.ethernet.edu.et/bitstream/123456789/42279/1/29.Shannon%20Thomas.pdf" TargetMode="External"/><Relationship Id="rId113" Type="http://schemas.openxmlformats.org/officeDocument/2006/relationships/hyperlink" Target="https://pmc.ncbi.nlm.nih.gov/articles/PMC2072932/" TargetMode="External"/><Relationship Id="rId114" Type="http://schemas.openxmlformats.org/officeDocument/2006/relationships/hyperlink" Target="https://pmc.ncbi.nlm.nih.gov/articles/PMC11632674/" TargetMode="External"/><Relationship Id="rId115" Type="http://schemas.openxmlformats.org/officeDocument/2006/relationships/hyperlink" Target="https://pmc.ncbi.nlm.nih.gov/articles/PMC11632674/" TargetMode="External"/><Relationship Id="rId116" Type="http://schemas.openxmlformats.org/officeDocument/2006/relationships/hyperlink" Target="https://www.ananiasfoundation.org/why-does-he-do-that/" TargetMode="External"/><Relationship Id="rId117" Type="http://schemas.openxmlformats.org/officeDocument/2006/relationships/hyperlink" Target="https://wmhcny.org/s/in-person-training-with-dr-ramani" TargetMode="External"/><Relationship Id="rId118" Type="http://schemas.openxmlformats.org/officeDocument/2006/relationships/hyperlink" Target="https://safeandtogether.org" TargetMode="External"/><Relationship Id="rId119" Type="http://schemas.openxmlformats.org/officeDocument/2006/relationships/hyperlink" Target="https://pmc.ncbi.nlm.nih.gov/articles/PMC2072932/" TargetMode="External"/><Relationship Id="rId120" Type="http://schemas.openxmlformats.org/officeDocument/2006/relationships/hyperlink" Target="https://blogs.umsl.edu/news/2018/06/01/sandra-langeslag-breakups/" TargetMode="External"/><Relationship Id="rId121" Type="http://schemas.openxmlformats.org/officeDocument/2006/relationships/hyperlink" Target="https://pmc.ncbi.nlm.nih.gov/articles/PMC4861725/" TargetMode="External"/><Relationship Id="rId122" Type="http://schemas.openxmlformats.org/officeDocument/2006/relationships/hyperlink" Target="https://www.besselvanderkolk.com/resources/the-body-keeps-the-score" TargetMode="External"/><Relationship Id="rId123" Type="http://schemas.openxmlformats.org/officeDocument/2006/relationships/hyperlink" Target="https://www.polyvagalinstitute.org" TargetMode="External"/><Relationship Id="rId124" Type="http://schemas.openxmlformats.org/officeDocument/2006/relationships/hyperlink" Target="https://abpp.org/newsletter-post/new-professional-practice-guideline-for-adults-with-complex-trauma-histori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2026-04-08T07:55:11.077Z</dcterms:created>
  <dcterms:modified xsi:type="dcterms:W3CDTF">2026-04-08T07:55:11.077Z</dcterms:modified>
</cp:coreProperties>
</file>