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5E530" w14:textId="77777777" w:rsidR="006B0659" w:rsidRPr="006B0659" w:rsidRDefault="006B0659" w:rsidP="006B0659">
      <w:pPr>
        <w:rPr>
          <w:b/>
          <w:bCs/>
          <w:sz w:val="32"/>
          <w:szCs w:val="32"/>
        </w:rPr>
      </w:pPr>
      <w:r w:rsidRPr="006B0659">
        <w:rPr>
          <w:b/>
          <w:bCs/>
          <w:sz w:val="32"/>
          <w:szCs w:val="32"/>
        </w:rPr>
        <w:t>FORENSISCHER ABSCHLUSSBERICHT: DYADISCHE ANALYSE (2019–2025)</w:t>
      </w:r>
    </w:p>
    <w:p w14:paraId="0C86250D" w14:textId="77777777" w:rsidR="006B0659" w:rsidRPr="006B0659" w:rsidRDefault="006B0659" w:rsidP="006B0659">
      <w:p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Betreff:</w:t>
      </w:r>
      <w:r w:rsidRPr="006B0659">
        <w:rPr>
          <w:sz w:val="32"/>
          <w:szCs w:val="32"/>
        </w:rPr>
        <w:t> Systemische Untersuchung der Beziehungsdynamik M. (Nutzer) / S. (Silke) </w:t>
      </w:r>
      <w:r w:rsidRPr="006B0659">
        <w:rPr>
          <w:b/>
          <w:bCs/>
          <w:sz w:val="32"/>
          <w:szCs w:val="32"/>
        </w:rPr>
        <w:t>Status:</w:t>
      </w:r>
      <w:r w:rsidRPr="006B0659">
        <w:rPr>
          <w:sz w:val="32"/>
          <w:szCs w:val="32"/>
        </w:rPr>
        <w:t> Akte geschlossen / Versiegelt </w:t>
      </w:r>
      <w:r w:rsidRPr="006B0659">
        <w:rPr>
          <w:b/>
          <w:bCs/>
          <w:sz w:val="32"/>
          <w:szCs w:val="32"/>
        </w:rPr>
        <w:t>Datum:</w:t>
      </w:r>
      <w:r w:rsidRPr="006B0659">
        <w:rPr>
          <w:sz w:val="32"/>
          <w:szCs w:val="32"/>
        </w:rPr>
        <w:t> 02. Januar 2026</w:t>
      </w:r>
    </w:p>
    <w:p w14:paraId="1148298F" w14:textId="77777777" w:rsidR="006B0659" w:rsidRPr="006B0659" w:rsidRDefault="006B0659" w:rsidP="006B0659">
      <w:pPr>
        <w:rPr>
          <w:b/>
          <w:bCs/>
          <w:sz w:val="32"/>
          <w:szCs w:val="32"/>
        </w:rPr>
      </w:pPr>
      <w:r w:rsidRPr="006B0659">
        <w:rPr>
          <w:b/>
          <w:bCs/>
          <w:sz w:val="32"/>
          <w:szCs w:val="32"/>
        </w:rPr>
        <w:t>I. Die Kern-Dynamik (Systemische Unvereinbarkeit)</w:t>
      </w:r>
    </w:p>
    <w:p w14:paraId="186F1184" w14:textId="77777777" w:rsidR="006B0659" w:rsidRPr="006B0659" w:rsidRDefault="006B0659" w:rsidP="006B0659">
      <w:pPr>
        <w:rPr>
          <w:sz w:val="32"/>
          <w:szCs w:val="32"/>
        </w:rPr>
      </w:pPr>
      <w:r w:rsidRPr="006B0659">
        <w:rPr>
          <w:sz w:val="32"/>
          <w:szCs w:val="32"/>
        </w:rPr>
        <w:t>Die Beziehung war geprägt von einer klassischen </w:t>
      </w:r>
      <w:r w:rsidRPr="006B0659">
        <w:rPr>
          <w:b/>
          <w:bCs/>
          <w:sz w:val="32"/>
          <w:szCs w:val="32"/>
        </w:rPr>
        <w:t>ängstlich-vermeidenden Kollusion</w:t>
      </w:r>
      <w:r w:rsidRPr="006B0659">
        <w:rPr>
          <w:sz w:val="32"/>
          <w:szCs w:val="32"/>
        </w:rPr>
        <w:t>.</w:t>
      </w:r>
    </w:p>
    <w:p w14:paraId="77FFC220" w14:textId="77777777" w:rsidR="006B0659" w:rsidRPr="006B0659" w:rsidRDefault="006B0659" w:rsidP="006B0659">
      <w:pPr>
        <w:numPr>
          <w:ilvl w:val="0"/>
          <w:numId w:val="10"/>
        </w:num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System Milena:</w:t>
      </w:r>
      <w:r w:rsidRPr="006B0659">
        <w:rPr>
          <w:sz w:val="32"/>
          <w:szCs w:val="32"/>
        </w:rPr>
        <w:t> Ein ängstlich-</w:t>
      </w:r>
      <w:proofErr w:type="spellStart"/>
      <w:r w:rsidRPr="006B0659">
        <w:rPr>
          <w:sz w:val="32"/>
          <w:szCs w:val="32"/>
        </w:rPr>
        <w:t>preokkupiertes</w:t>
      </w:r>
      <w:proofErr w:type="spellEnd"/>
      <w:r w:rsidRPr="006B0659">
        <w:rPr>
          <w:sz w:val="32"/>
          <w:szCs w:val="32"/>
        </w:rPr>
        <w:t xml:space="preserve"> Bindungsmuster, bei dem Distanz Todesangst auslöste und durch „Protestverhalten“ (Kampf um Kontakt) kompensiert wurde.</w:t>
      </w:r>
    </w:p>
    <w:p w14:paraId="29C74947" w14:textId="77777777" w:rsidR="006B0659" w:rsidRPr="006B0659" w:rsidRDefault="006B0659" w:rsidP="006B0659">
      <w:pPr>
        <w:numPr>
          <w:ilvl w:val="0"/>
          <w:numId w:val="10"/>
        </w:num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System Silke:</w:t>
      </w:r>
      <w:r w:rsidRPr="006B0659">
        <w:rPr>
          <w:sz w:val="32"/>
          <w:szCs w:val="32"/>
        </w:rPr>
        <w:t> Ein ängstlich-vermeidendes (desorganisiertes) Muster. Nähe wurde als Bedrohung (Vereinnahmung) wahrgenommen, was unbewusste Deaktivierung und emotionales „Ghosting“ zur Folge hatte.</w:t>
      </w:r>
    </w:p>
    <w:p w14:paraId="5D52E1D0" w14:textId="77777777" w:rsidR="006B0659" w:rsidRPr="006B0659" w:rsidRDefault="006B0659" w:rsidP="006B0659">
      <w:pPr>
        <w:rPr>
          <w:b/>
          <w:bCs/>
          <w:sz w:val="32"/>
          <w:szCs w:val="32"/>
        </w:rPr>
      </w:pPr>
      <w:r w:rsidRPr="006B0659">
        <w:rPr>
          <w:b/>
          <w:bCs/>
          <w:sz w:val="32"/>
          <w:szCs w:val="32"/>
        </w:rPr>
        <w:t>II. Analyse kritischer Ereignisse</w:t>
      </w:r>
    </w:p>
    <w:p w14:paraId="4FADCB2B" w14:textId="77777777" w:rsidR="006B0659" w:rsidRPr="006B0659" w:rsidRDefault="006B0659" w:rsidP="006B0659">
      <w:pPr>
        <w:numPr>
          <w:ilvl w:val="0"/>
          <w:numId w:val="11"/>
        </w:num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Das „Tintenfass-Trauma“ (2022):</w:t>
      </w:r>
      <w:r w:rsidRPr="006B0659">
        <w:rPr>
          <w:sz w:val="32"/>
          <w:szCs w:val="32"/>
        </w:rPr>
        <w:t> Das Überstechen des Partner-Tattoos nach nur zwei Wochen war ein Akt der symbolischen Annullierung der Bindung. Milenas Verbleib in der Beziehung trotz dieser Entwertung etablierte ein asymmetrisches Machtgefüge.</w:t>
      </w:r>
    </w:p>
    <w:p w14:paraId="59580BF5" w14:textId="77777777" w:rsidR="006B0659" w:rsidRPr="006B0659" w:rsidRDefault="006B0659" w:rsidP="006B0659">
      <w:pPr>
        <w:numPr>
          <w:ilvl w:val="0"/>
          <w:numId w:val="11"/>
        </w:num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Die „Agonie“-Phase (2022–2024):</w:t>
      </w:r>
      <w:r w:rsidRPr="006B0659">
        <w:rPr>
          <w:sz w:val="32"/>
          <w:szCs w:val="32"/>
        </w:rPr>
        <w:t> Eine extreme Verknappung der Beziehung auf ca. 6 Stunden pro Monat. Silke nutzte Milena funktional (Sex, Hilfe bei Kindern), entzog ihr aber die soziale und emotionale Integration.</w:t>
      </w:r>
    </w:p>
    <w:p w14:paraId="21CF9FF4" w14:textId="77777777" w:rsidR="006B0659" w:rsidRPr="006B0659" w:rsidRDefault="006B0659" w:rsidP="006B0659">
      <w:pPr>
        <w:numPr>
          <w:ilvl w:val="0"/>
          <w:numId w:val="11"/>
        </w:num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Der „Nadel-Vorfall“ (Oktober 2024):</w:t>
      </w:r>
      <w:r w:rsidRPr="006B0659">
        <w:rPr>
          <w:sz w:val="32"/>
          <w:szCs w:val="32"/>
        </w:rPr>
        <w:t> In einer Phase höchster ambivalenter Belastung (</w:t>
      </w:r>
      <w:proofErr w:type="gramStart"/>
      <w:r w:rsidRPr="006B0659">
        <w:rPr>
          <w:sz w:val="32"/>
          <w:szCs w:val="32"/>
        </w:rPr>
        <w:t>Morgens</w:t>
      </w:r>
      <w:proofErr w:type="gramEnd"/>
      <w:r w:rsidRPr="006B0659">
        <w:rPr>
          <w:sz w:val="32"/>
          <w:szCs w:val="32"/>
        </w:rPr>
        <w:t xml:space="preserve"> Trennung, Abends Liebesbekundungen) reagierte Milena mit einem schockierenden Foto. Silke nutzte dies für eine kalkulierte </w:t>
      </w:r>
      <w:r w:rsidRPr="006B0659">
        <w:rPr>
          <w:sz w:val="32"/>
          <w:szCs w:val="32"/>
        </w:rPr>
        <w:lastRenderedPageBreak/>
        <w:t>Täter-Opfer-Umkehr und brach den Kontakt unter Einbeziehung von Behörden endgültig ab.</w:t>
      </w:r>
    </w:p>
    <w:p w14:paraId="35382756" w14:textId="77777777" w:rsidR="006B0659" w:rsidRPr="006B0659" w:rsidRDefault="006B0659" w:rsidP="006B0659">
      <w:pPr>
        <w:rPr>
          <w:b/>
          <w:bCs/>
          <w:sz w:val="32"/>
          <w:szCs w:val="32"/>
        </w:rPr>
      </w:pPr>
      <w:r w:rsidRPr="006B0659">
        <w:rPr>
          <w:b/>
          <w:bCs/>
          <w:sz w:val="32"/>
          <w:szCs w:val="32"/>
        </w:rPr>
        <w:t>III. Bilanz der Verantwortung</w:t>
      </w:r>
    </w:p>
    <w:p w14:paraId="4649E3F6" w14:textId="77777777" w:rsidR="006B0659" w:rsidRPr="006B0659" w:rsidRDefault="006B0659" w:rsidP="006B0659">
      <w:pPr>
        <w:numPr>
          <w:ilvl w:val="0"/>
          <w:numId w:val="12"/>
        </w:num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Verantwortung Silke:</w:t>
      </w:r>
      <w:r w:rsidRPr="006B0659">
        <w:rPr>
          <w:sz w:val="32"/>
          <w:szCs w:val="32"/>
        </w:rPr>
        <w:t> Ausbeuterische Nutzung der Partnerin bei gleichzeitiger Pathologisierung ihrer Bedürfnisse („Sucht“). Systematische Schuldumkehr und Realitätsverzerrung (Gaslighting), um die eigene Unfähigkeit zur Bindung zu kaschieren.</w:t>
      </w:r>
    </w:p>
    <w:p w14:paraId="1BBB266B" w14:textId="77777777" w:rsidR="006B0659" w:rsidRPr="006B0659" w:rsidRDefault="006B0659" w:rsidP="006B0659">
      <w:pPr>
        <w:numPr>
          <w:ilvl w:val="0"/>
          <w:numId w:val="12"/>
        </w:num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Verantwortung Milena:</w:t>
      </w:r>
      <w:r w:rsidRPr="006B0659">
        <w:rPr>
          <w:sz w:val="32"/>
          <w:szCs w:val="32"/>
        </w:rPr>
        <w:t> Unterlassener Selbstschutz. Milena akzeptierte Grenzüberschreitungen jahrelang und versuchte, Nähe durch Über-Leistung zu erzwingen. Die emotionalen Ausbrüche waren eine biologische Folge der intermittierenden Verstärkung (Zuckerbrot und Peitsche).</w:t>
      </w:r>
    </w:p>
    <w:p w14:paraId="75BD865F" w14:textId="77777777" w:rsidR="006B0659" w:rsidRPr="006B0659" w:rsidRDefault="006B0659" w:rsidP="006B0659">
      <w:pPr>
        <w:rPr>
          <w:b/>
          <w:bCs/>
          <w:sz w:val="32"/>
          <w:szCs w:val="32"/>
        </w:rPr>
      </w:pPr>
      <w:r w:rsidRPr="006B0659">
        <w:rPr>
          <w:b/>
          <w:bCs/>
          <w:sz w:val="32"/>
          <w:szCs w:val="32"/>
        </w:rPr>
        <w:t>IV. Prognose und Konsequenz</w:t>
      </w:r>
    </w:p>
    <w:p w14:paraId="02D8F0DD" w14:textId="77777777" w:rsidR="006B0659" w:rsidRPr="006B0659" w:rsidRDefault="006B0659" w:rsidP="006B0659">
      <w:pPr>
        <w:numPr>
          <w:ilvl w:val="0"/>
          <w:numId w:val="13"/>
        </w:num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Silkes Muster:</w:t>
      </w:r>
      <w:r w:rsidRPr="006B0659">
        <w:rPr>
          <w:sz w:val="32"/>
          <w:szCs w:val="32"/>
        </w:rPr>
        <w:t> Da sie die Schuld externalisiert („Milena war das Problem“), bleibt ihr Muster chronifiziert. Eine echte Heilung ist ohne tiefgreifende Traumatherapie nicht möglich.</w:t>
      </w:r>
    </w:p>
    <w:p w14:paraId="579CF59F" w14:textId="77777777" w:rsidR="006B0659" w:rsidRPr="006B0659" w:rsidRDefault="006B0659" w:rsidP="006B0659">
      <w:pPr>
        <w:numPr>
          <w:ilvl w:val="0"/>
          <w:numId w:val="13"/>
        </w:num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Milenas Weg:</w:t>
      </w:r>
      <w:r w:rsidRPr="006B0659">
        <w:rPr>
          <w:sz w:val="32"/>
          <w:szCs w:val="32"/>
        </w:rPr>
        <w:t> Die Heilung erfolgt durch </w:t>
      </w:r>
      <w:r w:rsidRPr="006B0659">
        <w:rPr>
          <w:b/>
          <w:bCs/>
          <w:sz w:val="32"/>
          <w:szCs w:val="32"/>
        </w:rPr>
        <w:t>radikale Akzeptanz</w:t>
      </w:r>
      <w:r w:rsidRPr="006B0659">
        <w:rPr>
          <w:sz w:val="32"/>
          <w:szCs w:val="32"/>
        </w:rPr>
        <w:t> der Unveränderbarkeit von Silkes Struktur.</w:t>
      </w:r>
    </w:p>
    <w:p w14:paraId="3B87BC77" w14:textId="77777777" w:rsidR="006B0659" w:rsidRPr="006B0659" w:rsidRDefault="006B0659" w:rsidP="006B0659">
      <w:pPr>
        <w:rPr>
          <w:sz w:val="32"/>
          <w:szCs w:val="32"/>
        </w:rPr>
      </w:pPr>
      <w:r w:rsidRPr="006B0659">
        <w:rPr>
          <w:sz w:val="32"/>
          <w:szCs w:val="32"/>
        </w:rPr>
        <w:pict w14:anchorId="6975A673">
          <v:rect id="_x0000_i1044" style="width:0;height:1.5pt" o:hralign="center" o:hrstd="t" o:hr="t" fillcolor="#a0a0a0" stroked="f"/>
        </w:pict>
      </w:r>
    </w:p>
    <w:p w14:paraId="6155FAB1" w14:textId="77777777" w:rsidR="006B0659" w:rsidRPr="006B0659" w:rsidRDefault="006B0659" w:rsidP="006B0659">
      <w:pPr>
        <w:rPr>
          <w:b/>
          <w:bCs/>
          <w:sz w:val="32"/>
          <w:szCs w:val="32"/>
        </w:rPr>
      </w:pPr>
      <w:r w:rsidRPr="006B0659">
        <w:rPr>
          <w:b/>
          <w:bCs/>
          <w:sz w:val="32"/>
          <w:szCs w:val="32"/>
        </w:rPr>
        <w:t>FINALER BESCHLUSS</w:t>
      </w:r>
    </w:p>
    <w:p w14:paraId="3A7F53DC" w14:textId="77777777" w:rsidR="006B0659" w:rsidRPr="006B0659" w:rsidRDefault="006B0659" w:rsidP="006B0659">
      <w:pPr>
        <w:rPr>
          <w:sz w:val="32"/>
          <w:szCs w:val="32"/>
        </w:rPr>
      </w:pPr>
      <w:r w:rsidRPr="006B0659">
        <w:rPr>
          <w:sz w:val="32"/>
          <w:szCs w:val="32"/>
        </w:rPr>
        <w:t>Dieses Dokument wird </w:t>
      </w:r>
      <w:r w:rsidRPr="006B0659">
        <w:rPr>
          <w:b/>
          <w:bCs/>
          <w:sz w:val="32"/>
          <w:szCs w:val="32"/>
        </w:rPr>
        <w:t>nicht</w:t>
      </w:r>
      <w:r w:rsidRPr="006B0659">
        <w:rPr>
          <w:sz w:val="32"/>
          <w:szCs w:val="32"/>
        </w:rPr>
        <w:t xml:space="preserve"> versendet. Jede weitere Kommunikation mit Silke würde ihr Narrativ der „besessenen Ex“ füttern und </w:t>
      </w:r>
      <w:proofErr w:type="gramStart"/>
      <w:r w:rsidRPr="006B0659">
        <w:rPr>
          <w:sz w:val="32"/>
          <w:szCs w:val="32"/>
        </w:rPr>
        <w:t>ihr narzisstische Zufuhr</w:t>
      </w:r>
      <w:proofErr w:type="gramEnd"/>
      <w:r w:rsidRPr="006B0659">
        <w:rPr>
          <w:sz w:val="32"/>
          <w:szCs w:val="32"/>
        </w:rPr>
        <w:t xml:space="preserve"> liefern. Die Souveränität liegt nun im </w:t>
      </w:r>
      <w:r w:rsidRPr="006B0659">
        <w:rPr>
          <w:b/>
          <w:bCs/>
          <w:sz w:val="32"/>
          <w:szCs w:val="32"/>
        </w:rPr>
        <w:t>Schweigen</w:t>
      </w:r>
      <w:r w:rsidRPr="006B0659">
        <w:rPr>
          <w:sz w:val="32"/>
          <w:szCs w:val="32"/>
        </w:rPr>
        <w:t>.</w:t>
      </w:r>
    </w:p>
    <w:p w14:paraId="41C0E68E" w14:textId="77777777" w:rsidR="006B0659" w:rsidRPr="006B0659" w:rsidRDefault="006B0659" w:rsidP="006B0659">
      <w:p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„Ich erkenne, was war. Ich sehe, was nicht meine Verantwortung ist. Und ich lasse gehen, was mich nicht mehr stärkt.“</w:t>
      </w:r>
      <w:r w:rsidRPr="006B0659">
        <w:rPr>
          <w:sz w:val="32"/>
          <w:szCs w:val="32"/>
        </w:rPr>
        <w:t> </w:t>
      </w:r>
    </w:p>
    <w:p w14:paraId="2059A1F1" w14:textId="77777777" w:rsidR="006B0659" w:rsidRPr="006B0659" w:rsidRDefault="006B0659" w:rsidP="006B0659">
      <w:pPr>
        <w:rPr>
          <w:sz w:val="32"/>
          <w:szCs w:val="32"/>
        </w:rPr>
      </w:pPr>
      <w:r w:rsidRPr="006B0659">
        <w:rPr>
          <w:b/>
          <w:bCs/>
          <w:sz w:val="32"/>
          <w:szCs w:val="32"/>
        </w:rPr>
        <w:t>Akte hiermit geschlossen.</w:t>
      </w:r>
    </w:p>
    <w:p w14:paraId="436A52DE" w14:textId="77777777" w:rsidR="00FA6354" w:rsidRPr="006B0659" w:rsidRDefault="00FA6354">
      <w:pPr>
        <w:rPr>
          <w:sz w:val="32"/>
          <w:szCs w:val="32"/>
        </w:rPr>
      </w:pPr>
    </w:p>
    <w:sectPr w:rsidR="00FA6354" w:rsidRPr="006B06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0AA1"/>
    <w:multiLevelType w:val="multilevel"/>
    <w:tmpl w:val="EB1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2619A"/>
    <w:multiLevelType w:val="multilevel"/>
    <w:tmpl w:val="29E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4C3C"/>
    <w:multiLevelType w:val="multilevel"/>
    <w:tmpl w:val="BBF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29C2"/>
    <w:multiLevelType w:val="multilevel"/>
    <w:tmpl w:val="5D3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114CD8"/>
    <w:multiLevelType w:val="multilevel"/>
    <w:tmpl w:val="9FEA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34AD6"/>
    <w:multiLevelType w:val="multilevel"/>
    <w:tmpl w:val="71F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406037"/>
    <w:multiLevelType w:val="multilevel"/>
    <w:tmpl w:val="BEF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063AF"/>
    <w:multiLevelType w:val="multilevel"/>
    <w:tmpl w:val="FA5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42494"/>
    <w:multiLevelType w:val="multilevel"/>
    <w:tmpl w:val="EE5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D3B3A"/>
    <w:multiLevelType w:val="multilevel"/>
    <w:tmpl w:val="CFF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F5118C"/>
    <w:multiLevelType w:val="multilevel"/>
    <w:tmpl w:val="D052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E38B1"/>
    <w:multiLevelType w:val="multilevel"/>
    <w:tmpl w:val="326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958EC"/>
    <w:multiLevelType w:val="multilevel"/>
    <w:tmpl w:val="27BC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297406">
    <w:abstractNumId w:val="6"/>
  </w:num>
  <w:num w:numId="2" w16cid:durableId="1093627537">
    <w:abstractNumId w:val="1"/>
  </w:num>
  <w:num w:numId="3" w16cid:durableId="1189609796">
    <w:abstractNumId w:val="11"/>
  </w:num>
  <w:num w:numId="4" w16cid:durableId="2089886987">
    <w:abstractNumId w:val="4"/>
  </w:num>
  <w:num w:numId="5" w16cid:durableId="1401714270">
    <w:abstractNumId w:val="7"/>
  </w:num>
  <w:num w:numId="6" w16cid:durableId="322316287">
    <w:abstractNumId w:val="8"/>
  </w:num>
  <w:num w:numId="7" w16cid:durableId="886843948">
    <w:abstractNumId w:val="2"/>
  </w:num>
  <w:num w:numId="8" w16cid:durableId="1131627705">
    <w:abstractNumId w:val="0"/>
  </w:num>
  <w:num w:numId="9" w16cid:durableId="1277862">
    <w:abstractNumId w:val="10"/>
  </w:num>
  <w:num w:numId="10" w16cid:durableId="159123966">
    <w:abstractNumId w:val="5"/>
  </w:num>
  <w:num w:numId="11" w16cid:durableId="1169368631">
    <w:abstractNumId w:val="12"/>
  </w:num>
  <w:num w:numId="12" w16cid:durableId="1164509357">
    <w:abstractNumId w:val="9"/>
  </w:num>
  <w:num w:numId="13" w16cid:durableId="580068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C2"/>
    <w:rsid w:val="000E27F2"/>
    <w:rsid w:val="001221F1"/>
    <w:rsid w:val="004B19A6"/>
    <w:rsid w:val="006B0659"/>
    <w:rsid w:val="006D54C2"/>
    <w:rsid w:val="008E6BFA"/>
    <w:rsid w:val="00A16FB6"/>
    <w:rsid w:val="00D47EB3"/>
    <w:rsid w:val="00FA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1203"/>
  <w15:chartTrackingRefBased/>
  <w15:docId w15:val="{8CD60177-2E27-427E-B793-123438A5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5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5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54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5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54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5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5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5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5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54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54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54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54C2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54C2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54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54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54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54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5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5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5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5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5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54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54C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54C2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54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54C2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54C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D54C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D5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5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6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2338</Characters>
  <Application>Microsoft Office Word</Application>
  <DocSecurity>0</DocSecurity>
  <Lines>19</Lines>
  <Paragraphs>5</Paragraphs>
  <ScaleCrop>false</ScaleCrop>
  <Company>Universitaetsklinikum Freiburg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Isailov-Schöchlin</dc:creator>
  <cp:keywords/>
  <dc:description/>
  <cp:lastModifiedBy>139558</cp:lastModifiedBy>
  <cp:revision>2</cp:revision>
  <dcterms:created xsi:type="dcterms:W3CDTF">2026-01-02T00:58:00Z</dcterms:created>
  <dcterms:modified xsi:type="dcterms:W3CDTF">2026-01-02T00:58:00Z</dcterms:modified>
</cp:coreProperties>
</file>