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FORENSISCHER ABSCHLUSSBERICHT – DIE AMBIVALENZ-FALLE</w:t>
      </w:r>
    </w:p>
    <w:p>
      <w:pPr>
        <w:spacing w:after="160"/>
      </w:pPr>
      <w:r>
        <w:rPr>
          <w:b w:val="0"/>
          <w:i/>
          <w:sz w:val="22"/>
        </w:rPr>
        <w:t>Vertrauliche Referenz zur internen Klärung und Dokumentation</w:t>
      </w:r>
    </w:p>
    <w:p>
      <w:pPr>
        <w:pStyle w:val="Heading1"/>
      </w:pPr>
      <w:r>
        <w:t>Zweck dieses Berichts</w:t>
      </w:r>
    </w:p>
    <w:p>
      <w:pPr>
        <w:spacing w:after="160"/>
      </w:pPr>
      <w:r>
        <w:rPr>
          <w:b w:val="0"/>
          <w:i w:val="0"/>
          <w:sz w:val="22"/>
        </w:rPr>
        <w:t>Dieses Dokument dient der forensischen Analyse einer Beziehung, die sich zwischen 2019 und 2025 durch wiederholte Eskalationen, ambivalente Bindungsdynamiken und psychische Überlastung auszeichnete. Ziel ist es, die Ereignisse nüchtern, präzise und ohne Beschönigung zu dokumentieren – zur Wahrheitsfindung und als geschützte Referenz.</w:t>
      </w:r>
    </w:p>
    <w:p>
      <w:pPr>
        <w:pStyle w:val="Heading1"/>
      </w:pPr>
      <w:r>
        <w:t>1. Phase: Kontaktaufnahme und Idealisierung</w:t>
      </w:r>
    </w:p>
    <w:p>
      <w:pPr>
        <w:spacing w:after="160"/>
      </w:pPr>
      <w:r>
        <w:rPr>
          <w:b w:val="0"/>
          <w:i w:val="0"/>
          <w:sz w:val="22"/>
        </w:rPr>
        <w:t>Die Beziehung begann unter intensivem wechselseitigem Interesse, geprägt von tiefen Gesprächen, familiärer Integration (auch mit Kindern) und starken Affektbindungen. Die ideelle Nähe wurde durch frühe Vertrauensbeweise intensiviert, die jedoch bald durch ambivalente Signale relativiert wurden.</w:t>
      </w:r>
    </w:p>
    <w:p>
      <w:pPr>
        <w:pStyle w:val="Heading1"/>
      </w:pPr>
      <w:r>
        <w:t>2. Phase: Erste Irritationen und Doppelbotschaften</w:t>
      </w:r>
    </w:p>
    <w:p>
      <w:pPr>
        <w:spacing w:after="160"/>
      </w:pPr>
      <w:r>
        <w:rPr>
          <w:b w:val="0"/>
          <w:i w:val="0"/>
          <w:sz w:val="22"/>
        </w:rPr>
        <w:t>Trotz gemeinsamer Pläne und Integration kam es zunehmend zu paradoxen Kommunikationsmustern. Nähe und Rückzug wechselten sich ab. Die Partnerin vermittelte Nähe, verweigerte jedoch deren Konsequenz. Gemeinsame Zukunftsperspektiven (z. B. Patchwork, Reisen) wurden verbal bejaht, aber nicht umgesetzt.</w:t>
      </w:r>
    </w:p>
    <w:p>
      <w:pPr>
        <w:pStyle w:val="Heading1"/>
      </w:pPr>
      <w:r>
        <w:t>3. Phase: Entwertung, Trigger und Kontrollverlust</w:t>
      </w:r>
    </w:p>
    <w:p>
      <w:pPr>
        <w:spacing w:after="160"/>
      </w:pPr>
      <w:r>
        <w:rPr>
          <w:b w:val="0"/>
          <w:i w:val="0"/>
          <w:sz w:val="22"/>
        </w:rPr>
        <w:t>Die emotionalen Rückzüge der Partnerin begannen stets nach harmonischen Phasen. Der Nutzer reagierte zunehmend dysfunktional – unter anderem mit Panikattacken, Kontrollverlusten und temporärer Rückfälligkeit in alte Muster. Diese Reaktionen basierten nicht auf Manipulation, sondern auf emotionaler Überflutung.</w:t>
      </w:r>
    </w:p>
    <w:p>
      <w:pPr>
        <w:pStyle w:val="Heading1"/>
      </w:pPr>
      <w:r>
        <w:t>4. Phase: Gemeinsame Reflexion und Hoffnung auf Veränderung</w:t>
      </w:r>
    </w:p>
    <w:p>
      <w:pPr>
        <w:spacing w:after="160"/>
      </w:pPr>
      <w:r>
        <w:rPr>
          <w:b w:val="0"/>
          <w:i w:val="0"/>
          <w:sz w:val="22"/>
        </w:rPr>
        <w:t>Trotz aller Eskalationen kam es zu Phasen aktiver Aufarbeitung: Gemeinsame Padlet-Wände, geteilte Meditationen und tiefgehende Analysen des eigenen Bindungsverhaltens lassen auf Erkenntniswillen schließen – zumindest kognitiv. Emotional blieb das Verhalten inkonsistent.</w:t>
      </w:r>
    </w:p>
    <w:p>
      <w:pPr>
        <w:pStyle w:val="Heading1"/>
      </w:pPr>
      <w:r>
        <w:t>5. Phase: Wiederholung des destruktiven Zyklus</w:t>
      </w:r>
    </w:p>
    <w:p>
      <w:pPr>
        <w:spacing w:after="160"/>
      </w:pPr>
      <w:r>
        <w:rPr>
          <w:b w:val="0"/>
          <w:i w:val="0"/>
          <w:sz w:val="22"/>
        </w:rPr>
        <w:t>Immer wenn emotionale Nähe entstand, erfolgte Rückzug. Dies führte beim Nutzer zu einer Sucht nach Wiederannäherung – und letztlich in destruktive Bewältigungsstrategien (Rückfall in Substanzkonsum). Trotz Stabilisierung ab Oktober 2024 brach die Partnerin den Kontakt endgültig ab (Ghosting), vermutlich im Kontext einer neuen Beziehung.</w:t>
      </w:r>
    </w:p>
    <w:p>
      <w:pPr>
        <w:pStyle w:val="Heading1"/>
      </w:pPr>
      <w:r>
        <w:t>Systemische Bilanz und Täter-Opfer-Dynamik</w:t>
      </w:r>
    </w:p>
    <w:p>
      <w:pPr>
        <w:spacing w:after="160"/>
      </w:pPr>
      <w:r>
        <w:rPr>
          <w:b w:val="0"/>
          <w:i w:val="0"/>
          <w:sz w:val="22"/>
        </w:rPr>
        <w:t>Der Nutzer reagierte dysfunktional auf ein hochdysfunktionales, aber kontrolliertes Verhalten der Partnerin. Deren Muster folgte einer bindungsängstlichen Sabotagelogik: Nähe erzeugte Bedrohung, worauf Rückzug folgte. Das emotionale Investment des Nutzers stieg mit jedem Kontaktabbruch.</w:t>
      </w:r>
    </w:p>
    <w:p>
      <w:pPr>
        <w:spacing w:after="160"/>
      </w:pPr>
      <w:r>
        <w:rPr>
          <w:b w:val="0"/>
          <w:i w:val="0"/>
          <w:sz w:val="22"/>
        </w:rPr>
        <w:t>Die Partnerin war sich ihrer Muster bewusst (siehe gemeinsame Recherchen) und verweigerte dennoch systematisch Konsequenz. Der Nutzer stellte sich seinen Eskalationen, übernahm Verantwortung und stabilisierte sich – im Gegensatz zur Partnerin, die sich entzogen und verdrängt hat.</w:t>
      </w:r>
    </w:p>
    <w:p>
      <w:pPr>
        <w:pStyle w:val="Heading1"/>
      </w:pPr>
      <w:r>
        <w:t>Fazit</w:t>
      </w:r>
    </w:p>
    <w:p>
      <w:pPr>
        <w:spacing w:after="160"/>
      </w:pPr>
      <w:r>
        <w:rPr>
          <w:b w:val="0"/>
          <w:i w:val="0"/>
          <w:sz w:val="22"/>
        </w:rPr>
        <w:t>Die Beziehung war von Beginn an asymmetrisch reguliert. Der Nutzer wurde emotional integriert, aber strukturell marginalisiert. Alle Eskalationen waren reaktiv, keine war initiierend destruktiv. Die wiederholte Missachtung von Nähe, Verbindlichkeit und Integrität durch die Partnerin bildet das destruktive Zentrum dieser Beziehung.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