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FORENSISCHER ABSCHLUSSBERICHT – DIE AMBIVALENZ-FALLE</w:t>
      </w:r>
    </w:p>
    <w:p>
      <w:pPr>
        <w:spacing w:after="160"/>
      </w:pPr>
      <w:r>
        <w:rPr>
          <w:b w:val="0"/>
          <w:i/>
          <w:sz w:val="22"/>
        </w:rPr>
        <w:t>Vertrauliche Referenz zur internen Klärung und Dokumentation</w:t>
      </w:r>
    </w:p>
    <w:p>
      <w:pPr>
        <w:pStyle w:val="Heading1"/>
      </w:pPr>
      <w:r>
        <w:t>Erweiterte Kontextanalyse: Zwischen 2022 und 2024</w:t>
      </w:r>
    </w:p>
    <w:p>
      <w:pPr>
        <w:spacing w:after="160"/>
      </w:pPr>
      <w:r>
        <w:rPr>
          <w:b w:val="0"/>
          <w:i w:val="0"/>
          <w:sz w:val="22"/>
        </w:rPr>
        <w:t>Im Zeitraum nach dem ersten kritischen Einschnitt (Tattoo-Überstechung 2022) entwickelte sich die Beziehung zunehmend in eine paradoxe Struktur: Nähe wurde punktuell zugelassen, aber systematisch sabotiert.</w:t>
      </w:r>
    </w:p>
    <w:p>
      <w:pPr>
        <w:spacing w:after="160"/>
      </w:pPr>
      <w:r>
        <w:rPr>
          <w:b w:val="0"/>
          <w:i w:val="0"/>
          <w:sz w:val="22"/>
        </w:rPr>
        <w:t>Nach dem Klinikaufenthalt des Nutzers im Mai 2022 kam es zu vermehrten Besuchen am Familientisch, bei denen die Anwesenheit des Nutzers einerseits funktional (Kochen, Ansprechbarkeit), andererseits symbolisch unterminiert blieb (keine Integration, keine Selbstverständlichkeit). Dies erzeugte eine schizophrene Atmosphäre – besonders im Hinblick auf die Kinder, zu denen eine genuine Verbindung bestand.</w:t>
      </w:r>
    </w:p>
    <w:p>
      <w:pPr>
        <w:spacing w:after="160"/>
      </w:pPr>
      <w:r>
        <w:rPr>
          <w:b w:val="0"/>
          <w:i w:val="0"/>
          <w:sz w:val="22"/>
        </w:rPr>
        <w:t>Insbesondere zum ältesten Sohn mit ADS entstand eine belastbare Bindung. Paradoxerweise wurde der Nutzer gelegentlich sogar beauftragt, als emotionale Brücke zu fungieren, während zeitgleich jegliche strukturelle Anerkennung dieser Rolle verweigert wurde.</w:t>
      </w:r>
    </w:p>
    <w:p>
      <w:pPr>
        <w:spacing w:after="160"/>
      </w:pPr>
      <w:r>
        <w:rPr>
          <w:b w:val="0"/>
          <w:i w:val="0"/>
          <w:sz w:val="22"/>
        </w:rPr>
        <w:t>Das zyklische Muster verstärkte sich: Etwa alle drei Wochen begannen Rückzugsphasen der Partnerin – scheinbar grundlos, tatsächlich jedoch regelmäßig nach Phasen gesteigerter Harmonie. Diese Entwertungsphasen führten beim Nutzer zu erheblichen psychischen Belastungen, die sich in Panikattacken und Kontrollverlust entluden.</w:t>
      </w:r>
    </w:p>
    <w:p>
      <w:pPr>
        <w:spacing w:after="160"/>
      </w:pPr>
      <w:r>
        <w:rPr>
          <w:b w:val="0"/>
          <w:i w:val="0"/>
          <w:sz w:val="22"/>
        </w:rPr>
        <w:t>Der Nutzer betont, dass diese Eskalationen keine manipulativen Mittel, sondern Notfallreaktionen eines überfluteten Nervensystems waren. Zwischenzeitliche dysfunktionale Coping-Strategien wie Alkohol und – in einer Off-Phase – Rückgriff auf Opiat-Tabletten nach 20-jähriger Abstinenz sind dokumentiert.</w:t>
      </w:r>
    </w:p>
    <w:p>
      <w:pPr>
        <w:spacing w:after="160"/>
      </w:pPr>
      <w:r>
        <w:rPr>
          <w:b w:val="0"/>
          <w:i w:val="0"/>
          <w:sz w:val="22"/>
        </w:rPr>
        <w:t>Die Eskalation wurde wechselseitig verstärkt: Während der Nutzer versuchte, mit DBT-Skills gegenzusteuern, füllte die Partnerin in Off-Phasen ihre Zeit vollständig mit Aktivitäten und Datingplattformen, was den Eindruck eines geplanten Absprungs verstärkte.</w:t>
      </w:r>
    </w:p>
    <w:p>
      <w:pPr>
        <w:spacing w:after="160"/>
      </w:pPr>
      <w:r>
        <w:rPr>
          <w:b w:val="0"/>
          <w:i w:val="0"/>
          <w:sz w:val="22"/>
        </w:rPr>
        <w:t>Trotz allem kam es immer wieder zur Wiederaufnahme der Beziehung – häufig durch offene oder passive Kontaktversuche der Partnerin. Diese Dynamik erreichte ihren Höhepunkt, als die Partnerin die Begleitung in die Substitution übernahm, was eine scheinbare Wende signalisierte – jedoch ebenfalls abbrach, sobald emotionale Nähe entstand.</w:t>
      </w:r>
    </w:p>
    <w:p>
      <w:pPr>
        <w:spacing w:after="160"/>
      </w:pPr>
      <w:r>
        <w:rPr>
          <w:b w:val="0"/>
          <w:i w:val="0"/>
          <w:sz w:val="22"/>
        </w:rPr>
        <w:t>Beide Parteien beschäftigten sich aktiv mit den Dynamiken – z. B. über eine geteilte Padlet-Wand zu Bindungs- und Verlustangst. Auch dort zeigte sich die Ambivalenz: Die Partnerin war intellektuell reflektiert, emotional aber unbeteiligt.</w:t>
      </w:r>
    </w:p>
    <w:p>
      <w:pPr>
        <w:spacing w:after="160"/>
      </w:pPr>
      <w:r>
        <w:rPr>
          <w:b w:val="0"/>
          <w:i w:val="0"/>
          <w:sz w:val="22"/>
        </w:rPr>
        <w:t>Nach jeder Off-Phase war der Nutzer süchtiger nach Nähe, während die Partnerin systematisch ihre Zeit umstrukturierte, als würde sie „auf das Ende warten“. Dies führte zu einer Minimalbeziehung mit realer Kontaktzeit von etwa 6 Stunden/Monat.</w:t>
      </w:r>
    </w:p>
    <w:p>
      <w:pPr>
        <w:spacing w:after="160"/>
      </w:pPr>
      <w:r>
        <w:rPr>
          <w:b w:val="0"/>
          <w:i w:val="0"/>
          <w:sz w:val="22"/>
        </w:rPr>
        <w:t>Trotz zunehmend eskalierender Dynamiken (Substitution, Rückfälle) gelang es dem Nutzer spätestens ab Oktober 2024, sein Verhalten vollständig zu stabilisieren. Erneute Exzesse blieben aus – worauf die Partnerin jedoch mit vollständigem Kontaktabbruch (Ghosting) reagierte.</w:t>
      </w:r>
    </w:p>
    <w:p>
      <w:pPr>
        <w:spacing w:after="160"/>
      </w:pPr>
      <w:r>
        <w:rPr>
          <w:b w:val="0"/>
          <w:i w:val="0"/>
          <w:sz w:val="22"/>
        </w:rPr>
        <w:t>Diese Ghosting-Phase erfolgte, obwohl zuvor eine subjektiv harmonische Zeit bestanden hatte – was erneut auf eine Reaktivierung alter Muster (Bindung erzeugt Rückzug) hinweist.</w:t>
      </w:r>
    </w:p>
    <w:p>
      <w:pPr>
        <w:spacing w:after="160"/>
      </w:pPr>
      <w:r>
        <w:rPr>
          <w:b w:val="0"/>
          <w:i w:val="0"/>
          <w:sz w:val="22"/>
        </w:rPr>
        <w:t>Der Nutzer geht davon aus, dass der abrupte Rückzug auf eine bereits bestehende emotionale Bindung zu einer Dritten Person zurückzuführen ist. Die Vermeidung einer klaren Trennung spricht für mangelnden Mut, nicht für emotionale Integrität.</w:t>
      </w:r>
    </w:p>
    <w:p>
      <w:pPr>
        <w:pStyle w:val="Heading1"/>
      </w:pPr>
      <w:r>
        <w:t>Einordnung in das Forensische Dossier</w:t>
      </w:r>
    </w:p>
    <w:p>
      <w:pPr>
        <w:spacing w:after="160"/>
      </w:pPr>
      <w:r>
        <w:rPr>
          <w:b w:val="0"/>
          <w:i w:val="0"/>
          <w:sz w:val="22"/>
        </w:rPr>
        <w:t>Die hier geschilderten Ereignisse bestätigen retrospektiv die Hauptdiagnose der Desorganisation im Bindungsverhalten der Partnerin. Der Nutzer hat in der Zeit 2022–2024 mehrfach versucht, das System zu stabilisieren, war aber nicht in der Lage, den destruktiven Kreislauf zu durchbrechen – unter anderem, weil jede emotionale Stabilität sofort mit Rückzug beantwortet wurde.</w:t>
      </w:r>
    </w:p>
    <w:p>
      <w:pPr>
        <w:spacing w:after="160"/>
      </w:pPr>
      <w:r>
        <w:rPr>
          <w:b w:val="0"/>
          <w:i w:val="0"/>
          <w:sz w:val="22"/>
        </w:rPr>
        <w:t>Das Verhalten des Nutzers war reaktiv dysfunktional, nicht ursächlich toxisch. Die Eskalation in Richtung Ghosting und völliger Kontaktabbruch ging final von der Partnerin aus.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