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2571" w14:textId="77777777" w:rsidR="00887D1B" w:rsidRPr="00384E05" w:rsidRDefault="00000000">
      <w:pPr>
        <w:spacing w:before="1100"/>
        <w:jc w:val="center"/>
        <w:rPr>
          <w:rFonts w:cs="Times New Roman"/>
          <w:color w:val="000000" w:themeColor="text1"/>
        </w:rPr>
      </w:pPr>
      <w:r w:rsidRPr="00384E05">
        <w:rPr>
          <w:rFonts w:cs="Times New Roman"/>
          <w:b/>
          <w:color w:val="000000" w:themeColor="text1"/>
          <w:sz w:val="28"/>
        </w:rPr>
        <w:t>UNIVERSIDAD TÉCNICA ESTATAL DE QUEVEDO</w:t>
      </w:r>
    </w:p>
    <w:p w14:paraId="33F74C9F" w14:textId="77777777" w:rsidR="00887D1B" w:rsidRPr="00384E05" w:rsidRDefault="00000000">
      <w:pPr>
        <w:jc w:val="center"/>
        <w:rPr>
          <w:rFonts w:cs="Times New Roman"/>
        </w:rPr>
      </w:pPr>
      <w:r w:rsidRPr="00384E05">
        <w:rPr>
          <w:rFonts w:cs="Times New Roman"/>
          <w:sz w:val="22"/>
        </w:rPr>
        <w:t>FACULTAD DE CIENCIAS DE LA COMPUTACIÓN Y DISEÑO DIGITAL</w:t>
      </w:r>
      <w:r w:rsidRPr="00384E05">
        <w:rPr>
          <w:rFonts w:cs="Times New Roman"/>
          <w:sz w:val="22"/>
        </w:rPr>
        <w:br/>
        <w:t>CARRERA DE INGENIERÍA EN SOFTWARE</w:t>
      </w:r>
    </w:p>
    <w:p w14:paraId="3143512B" w14:textId="56939247" w:rsidR="00887D1B" w:rsidRPr="00384E05" w:rsidRDefault="00000000">
      <w:pPr>
        <w:spacing w:before="640"/>
        <w:jc w:val="center"/>
        <w:rPr>
          <w:rFonts w:cs="Times New Roman"/>
          <w:color w:val="000000" w:themeColor="text1"/>
        </w:rPr>
      </w:pPr>
      <w:r w:rsidRPr="00384E05">
        <w:rPr>
          <w:rFonts w:cs="Times New Roman"/>
          <w:b/>
          <w:color w:val="000000" w:themeColor="text1"/>
          <w:sz w:val="34"/>
        </w:rPr>
        <w:t>BORRADOR</w:t>
      </w:r>
      <w:r w:rsidR="00384E05" w:rsidRPr="00384E05">
        <w:rPr>
          <w:rFonts w:cs="Times New Roman"/>
          <w:b/>
          <w:color w:val="000000" w:themeColor="text1"/>
          <w:sz w:val="34"/>
        </w:rPr>
        <w:t xml:space="preserve"> </w:t>
      </w:r>
      <w:r w:rsidRPr="00384E05">
        <w:rPr>
          <w:rFonts w:cs="Times New Roman"/>
          <w:b/>
          <w:color w:val="000000" w:themeColor="text1"/>
          <w:sz w:val="34"/>
        </w:rPr>
        <w:t xml:space="preserve">– </w:t>
      </w:r>
      <w:r w:rsidR="00384E05" w:rsidRPr="00384E05">
        <w:rPr>
          <w:rFonts w:cs="Times New Roman"/>
          <w:b/>
          <w:color w:val="000000" w:themeColor="text1"/>
          <w:sz w:val="34"/>
        </w:rPr>
        <w:t xml:space="preserve">CEDEÑO AVILA WINSTON DAMIAN </w:t>
      </w:r>
    </w:p>
    <w:p w14:paraId="7E8DBD8D" w14:textId="77777777" w:rsidR="00887D1B" w:rsidRPr="00384E05" w:rsidRDefault="00000000">
      <w:pPr>
        <w:spacing w:before="200"/>
        <w:jc w:val="center"/>
        <w:rPr>
          <w:rFonts w:cs="Times New Roman"/>
        </w:rPr>
      </w:pPr>
      <w:r w:rsidRPr="00384E05">
        <w:rPr>
          <w:rFonts w:cs="Times New Roman"/>
          <w:b/>
          <w:sz w:val="26"/>
        </w:rPr>
        <w:t>GA – EXPOSICIÓN SEGUNDO CORTE: HERRAMIENTAS CASE (VISUAL PARADIGM)</w:t>
      </w:r>
      <w:r w:rsidRPr="00384E05">
        <w:rPr>
          <w:rFonts w:cs="Times New Roman"/>
          <w:b/>
          <w:sz w:val="26"/>
        </w:rPr>
        <w:br/>
        <w:t>CICLO MDD APLICADO A MUNDIPETS: GENERACIÓN DE CÓDIGO A PARTIR DE MODELOS UML</w:t>
      </w:r>
    </w:p>
    <w:tbl>
      <w:tblPr>
        <w:tblStyle w:val="Tablaconcuadrcula"/>
        <w:tblW w:w="0" w:type="auto"/>
        <w:jc w:val="center"/>
        <w:tblLook w:val="04A0" w:firstRow="1" w:lastRow="0" w:firstColumn="1" w:lastColumn="0" w:noHBand="0" w:noVBand="1"/>
      </w:tblPr>
      <w:tblGrid>
        <w:gridCol w:w="4698"/>
        <w:gridCol w:w="4698"/>
      </w:tblGrid>
      <w:tr w:rsidR="00887D1B" w:rsidRPr="00384E05" w14:paraId="789B136E" w14:textId="77777777">
        <w:trPr>
          <w:jc w:val="center"/>
        </w:trPr>
        <w:tc>
          <w:tcPr>
            <w:tcW w:w="4703" w:type="dxa"/>
            <w:shd w:val="clear" w:color="auto" w:fill="D9EAF7"/>
            <w:tcMar>
              <w:top w:w="80" w:type="dxa"/>
              <w:left w:w="80" w:type="dxa"/>
              <w:bottom w:w="80" w:type="dxa"/>
              <w:right w:w="80" w:type="dxa"/>
            </w:tcMar>
          </w:tcPr>
          <w:p w14:paraId="1EADCFBF" w14:textId="77777777" w:rsidR="00887D1B" w:rsidRPr="00384E05" w:rsidRDefault="00000000">
            <w:pPr>
              <w:rPr>
                <w:rFonts w:cs="Times New Roman"/>
              </w:rPr>
            </w:pPr>
            <w:r w:rsidRPr="00384E05">
              <w:rPr>
                <w:rFonts w:cs="Times New Roman"/>
                <w:b/>
                <w:sz w:val="18"/>
              </w:rPr>
              <w:t>Materia</w:t>
            </w:r>
          </w:p>
        </w:tc>
        <w:tc>
          <w:tcPr>
            <w:tcW w:w="4703" w:type="dxa"/>
            <w:tcMar>
              <w:top w:w="80" w:type="dxa"/>
              <w:left w:w="80" w:type="dxa"/>
              <w:bottom w:w="80" w:type="dxa"/>
              <w:right w:w="80" w:type="dxa"/>
            </w:tcMar>
          </w:tcPr>
          <w:p w14:paraId="0D07A03E" w14:textId="73559F0C" w:rsidR="00887D1B" w:rsidRPr="00384E05" w:rsidRDefault="00000000">
            <w:pPr>
              <w:rPr>
                <w:rFonts w:cs="Times New Roman"/>
              </w:rPr>
            </w:pPr>
            <w:r w:rsidRPr="00384E05">
              <w:rPr>
                <w:rFonts w:cs="Times New Roman"/>
                <w:sz w:val="18"/>
              </w:rPr>
              <w:t>Ingeniería de Requ</w:t>
            </w:r>
            <w:r w:rsidR="00384E05">
              <w:rPr>
                <w:rFonts w:cs="Times New Roman"/>
                <w:sz w:val="18"/>
              </w:rPr>
              <w:t>erimientos</w:t>
            </w:r>
          </w:p>
        </w:tc>
      </w:tr>
      <w:tr w:rsidR="00887D1B" w:rsidRPr="00384E05" w14:paraId="499F84F5" w14:textId="77777777">
        <w:trPr>
          <w:jc w:val="center"/>
        </w:trPr>
        <w:tc>
          <w:tcPr>
            <w:tcW w:w="4703" w:type="dxa"/>
            <w:shd w:val="clear" w:color="auto" w:fill="D9EAF7"/>
            <w:tcMar>
              <w:top w:w="80" w:type="dxa"/>
              <w:left w:w="80" w:type="dxa"/>
              <w:bottom w:w="80" w:type="dxa"/>
              <w:right w:w="80" w:type="dxa"/>
            </w:tcMar>
          </w:tcPr>
          <w:p w14:paraId="704569E7" w14:textId="77777777" w:rsidR="00887D1B" w:rsidRPr="00384E05" w:rsidRDefault="00000000">
            <w:pPr>
              <w:rPr>
                <w:rFonts w:cs="Times New Roman"/>
              </w:rPr>
            </w:pPr>
            <w:r w:rsidRPr="00384E05">
              <w:rPr>
                <w:rFonts w:cs="Times New Roman"/>
                <w:b/>
                <w:sz w:val="18"/>
              </w:rPr>
              <w:t>Responsable</w:t>
            </w:r>
          </w:p>
        </w:tc>
        <w:tc>
          <w:tcPr>
            <w:tcW w:w="4703" w:type="dxa"/>
            <w:tcMar>
              <w:top w:w="80" w:type="dxa"/>
              <w:left w:w="80" w:type="dxa"/>
              <w:bottom w:w="80" w:type="dxa"/>
              <w:right w:w="80" w:type="dxa"/>
            </w:tcMar>
          </w:tcPr>
          <w:p w14:paraId="31FCC85E" w14:textId="7845F5E4" w:rsidR="00887D1B" w:rsidRPr="00384E05" w:rsidRDefault="00000000">
            <w:pPr>
              <w:rPr>
                <w:rFonts w:cs="Times New Roman"/>
              </w:rPr>
            </w:pPr>
            <w:r w:rsidRPr="00384E05">
              <w:rPr>
                <w:rFonts w:cs="Times New Roman"/>
                <w:sz w:val="18"/>
              </w:rPr>
              <w:t xml:space="preserve">CEDEÑO AVILA WINSTON DAMIAN </w:t>
            </w:r>
          </w:p>
        </w:tc>
      </w:tr>
      <w:tr w:rsidR="00887D1B" w:rsidRPr="00384E05" w14:paraId="50D8480A" w14:textId="77777777">
        <w:trPr>
          <w:jc w:val="center"/>
        </w:trPr>
        <w:tc>
          <w:tcPr>
            <w:tcW w:w="4703" w:type="dxa"/>
            <w:shd w:val="clear" w:color="auto" w:fill="D9EAF7"/>
            <w:tcMar>
              <w:top w:w="80" w:type="dxa"/>
              <w:left w:w="80" w:type="dxa"/>
              <w:bottom w:w="80" w:type="dxa"/>
              <w:right w:w="80" w:type="dxa"/>
            </w:tcMar>
          </w:tcPr>
          <w:p w14:paraId="07BC776F" w14:textId="01DB2C31" w:rsidR="00887D1B" w:rsidRPr="00384E05" w:rsidRDefault="00384E05">
            <w:pPr>
              <w:rPr>
                <w:rFonts w:cs="Times New Roman"/>
              </w:rPr>
            </w:pPr>
            <w:r w:rsidRPr="00384E05">
              <w:rPr>
                <w:rFonts w:cs="Times New Roman"/>
                <w:b/>
                <w:sz w:val="18"/>
              </w:rPr>
              <w:t>Grupo</w:t>
            </w:r>
          </w:p>
        </w:tc>
        <w:tc>
          <w:tcPr>
            <w:tcW w:w="4703" w:type="dxa"/>
            <w:tcMar>
              <w:top w:w="80" w:type="dxa"/>
              <w:left w:w="80" w:type="dxa"/>
              <w:bottom w:w="80" w:type="dxa"/>
              <w:right w:w="80" w:type="dxa"/>
            </w:tcMar>
          </w:tcPr>
          <w:p w14:paraId="643E9B4A" w14:textId="688C5930" w:rsidR="00887D1B" w:rsidRPr="00384E05" w:rsidRDefault="00384E05">
            <w:pPr>
              <w:rPr>
                <w:rFonts w:cs="Times New Roman"/>
              </w:rPr>
            </w:pPr>
            <w:r w:rsidRPr="00384E05">
              <w:rPr>
                <w:rFonts w:cs="Times New Roman"/>
              </w:rPr>
              <w:t>G</w:t>
            </w:r>
          </w:p>
        </w:tc>
      </w:tr>
      <w:tr w:rsidR="00887D1B" w:rsidRPr="00384E05" w14:paraId="7BC0C8B8" w14:textId="77777777">
        <w:trPr>
          <w:jc w:val="center"/>
        </w:trPr>
        <w:tc>
          <w:tcPr>
            <w:tcW w:w="4703" w:type="dxa"/>
            <w:shd w:val="clear" w:color="auto" w:fill="D9EAF7"/>
            <w:tcMar>
              <w:top w:w="80" w:type="dxa"/>
              <w:left w:w="80" w:type="dxa"/>
              <w:bottom w:w="80" w:type="dxa"/>
              <w:right w:w="80" w:type="dxa"/>
            </w:tcMar>
          </w:tcPr>
          <w:p w14:paraId="14507F87" w14:textId="77777777" w:rsidR="00887D1B" w:rsidRPr="00384E05" w:rsidRDefault="00000000">
            <w:pPr>
              <w:rPr>
                <w:rFonts w:cs="Times New Roman"/>
              </w:rPr>
            </w:pPr>
            <w:r w:rsidRPr="00384E05">
              <w:rPr>
                <w:rFonts w:cs="Times New Roman"/>
                <w:b/>
                <w:sz w:val="18"/>
              </w:rPr>
              <w:t>Secciones desarrolladas</w:t>
            </w:r>
          </w:p>
        </w:tc>
        <w:tc>
          <w:tcPr>
            <w:tcW w:w="4703" w:type="dxa"/>
            <w:tcMar>
              <w:top w:w="80" w:type="dxa"/>
              <w:left w:w="80" w:type="dxa"/>
              <w:bottom w:w="80" w:type="dxa"/>
              <w:right w:w="80" w:type="dxa"/>
            </w:tcMar>
          </w:tcPr>
          <w:p w14:paraId="6F3913FD" w14:textId="77777777" w:rsidR="00887D1B" w:rsidRPr="00384E05" w:rsidRDefault="00000000">
            <w:pPr>
              <w:rPr>
                <w:rFonts w:cs="Times New Roman"/>
              </w:rPr>
            </w:pPr>
            <w:r w:rsidRPr="00384E05">
              <w:rPr>
                <w:rFonts w:cs="Times New Roman"/>
                <w:sz w:val="18"/>
              </w:rPr>
              <w:t>2. Marco teórico; 4. Descripción del subsistema; 11. Conclusiones; Anexo de estructura del repositorio</w:t>
            </w:r>
          </w:p>
        </w:tc>
      </w:tr>
      <w:tr w:rsidR="00887D1B" w:rsidRPr="00384E05" w14:paraId="181D2C39" w14:textId="77777777">
        <w:trPr>
          <w:jc w:val="center"/>
        </w:trPr>
        <w:tc>
          <w:tcPr>
            <w:tcW w:w="4703" w:type="dxa"/>
            <w:shd w:val="clear" w:color="auto" w:fill="D9EAF7"/>
            <w:tcMar>
              <w:top w:w="80" w:type="dxa"/>
              <w:left w:w="80" w:type="dxa"/>
              <w:bottom w:w="80" w:type="dxa"/>
              <w:right w:w="80" w:type="dxa"/>
            </w:tcMar>
          </w:tcPr>
          <w:p w14:paraId="2DE125C5" w14:textId="77777777" w:rsidR="00887D1B" w:rsidRPr="00384E05" w:rsidRDefault="00000000">
            <w:pPr>
              <w:rPr>
                <w:rFonts w:cs="Times New Roman"/>
              </w:rPr>
            </w:pPr>
            <w:r w:rsidRPr="00384E05">
              <w:rPr>
                <w:rFonts w:cs="Times New Roman"/>
                <w:b/>
                <w:sz w:val="18"/>
              </w:rPr>
              <w:t>Fecha del borrador</w:t>
            </w:r>
          </w:p>
        </w:tc>
        <w:tc>
          <w:tcPr>
            <w:tcW w:w="4703" w:type="dxa"/>
            <w:tcMar>
              <w:top w:w="80" w:type="dxa"/>
              <w:left w:w="80" w:type="dxa"/>
              <w:bottom w:w="80" w:type="dxa"/>
              <w:right w:w="80" w:type="dxa"/>
            </w:tcMar>
          </w:tcPr>
          <w:p w14:paraId="3172B1D6" w14:textId="77777777" w:rsidR="00887D1B" w:rsidRPr="00384E05" w:rsidRDefault="00000000">
            <w:pPr>
              <w:rPr>
                <w:rFonts w:cs="Times New Roman"/>
              </w:rPr>
            </w:pPr>
            <w:r w:rsidRPr="00384E05">
              <w:rPr>
                <w:rFonts w:cs="Times New Roman"/>
                <w:sz w:val="18"/>
              </w:rPr>
              <w:t>15 de julio de 2026</w:t>
            </w:r>
          </w:p>
        </w:tc>
      </w:tr>
    </w:tbl>
    <w:p w14:paraId="32363324" w14:textId="77777777" w:rsidR="00887D1B" w:rsidRDefault="00887D1B"/>
    <w:p w14:paraId="4653A362" w14:textId="77777777" w:rsidR="00887D1B" w:rsidRPr="00384E05" w:rsidRDefault="00000000">
      <w:pPr>
        <w:pStyle w:val="Ttulo1"/>
        <w:rPr>
          <w:rFonts w:ascii="Times New Roman" w:hAnsi="Times New Roman" w:cs="Times New Roman"/>
          <w:color w:val="000000" w:themeColor="text1"/>
          <w:sz w:val="24"/>
          <w:szCs w:val="24"/>
        </w:rPr>
      </w:pPr>
      <w:r w:rsidRPr="00384E05">
        <w:rPr>
          <w:rFonts w:ascii="Times New Roman" w:hAnsi="Times New Roman" w:cs="Times New Roman"/>
          <w:color w:val="000000" w:themeColor="text1"/>
          <w:sz w:val="24"/>
          <w:szCs w:val="24"/>
        </w:rPr>
        <w:t>2. Marco teórico</w:t>
      </w:r>
    </w:p>
    <w:p w14:paraId="11AFC550" w14:textId="77777777" w:rsidR="00887D1B" w:rsidRPr="00384E05" w:rsidRDefault="00000000">
      <w:pPr>
        <w:rPr>
          <w:rFonts w:cs="Times New Roman"/>
          <w:sz w:val="24"/>
          <w:szCs w:val="24"/>
        </w:rPr>
      </w:pPr>
      <w:r w:rsidRPr="00384E05">
        <w:rPr>
          <w:rFonts w:cs="Times New Roman"/>
          <w:sz w:val="24"/>
          <w:szCs w:val="24"/>
        </w:rPr>
        <w:t>El desarrollo dirigido por modelos reúne un conjunto de enfoques de ingeniería de software en los que los modelos dejan de ser únicamente documentación y pasan a convertirse en artefactos centrales del proceso de construcción. La literatura reciente destaca que el valor práctico de estos enfoques aparece cuando los modelos se vinculan con mecanismos de validación, transformación y generación automática, de forma que sea posible conservar trazabilidad entre decisiones de diseño e implementación [1], [3], [5]. En el contexto de MundiPets, este principio permite partir de modelos UML del dominio y utilizarlos como entrada controlada para obtener una base de código reproducible.</w:t>
      </w:r>
    </w:p>
    <w:p w14:paraId="1F315852"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2.1 Ingeniería dirigida por modelos (MDE)</w:t>
      </w:r>
    </w:p>
    <w:p w14:paraId="4315F57D" w14:textId="77777777" w:rsidR="00887D1B" w:rsidRPr="00384E05" w:rsidRDefault="00000000">
      <w:pPr>
        <w:rPr>
          <w:rFonts w:cs="Times New Roman"/>
          <w:sz w:val="24"/>
          <w:szCs w:val="24"/>
        </w:rPr>
      </w:pPr>
      <w:r w:rsidRPr="00384E05">
        <w:rPr>
          <w:rFonts w:cs="Times New Roman"/>
          <w:sz w:val="24"/>
          <w:szCs w:val="24"/>
        </w:rPr>
        <w:t>Model-Driven Engineering (MDE) es el enfoque más amplio. Considera los modelos, metamodelos y transformaciones como elementos de primera clase durante distintas actividades del ciclo de vida. Su objetivo no se limita a generar código: también puede apoyar análisis, validación, consistencia, interoperabilidad, evolución y trazabilidad. En la práctica, la automatización es una característica clave, porque reduce la repetición de tareas mecánicas y permite trasladar información entre niveles de abstracción de manera sistemática [3], [5], [6].</w:t>
      </w:r>
    </w:p>
    <w:p w14:paraId="3C77A2FD" w14:textId="77777777" w:rsidR="00887D1B" w:rsidRPr="00384E05" w:rsidRDefault="00000000">
      <w:pPr>
        <w:rPr>
          <w:rFonts w:cs="Times New Roman"/>
          <w:sz w:val="24"/>
          <w:szCs w:val="24"/>
        </w:rPr>
      </w:pPr>
      <w:r w:rsidRPr="00384E05">
        <w:rPr>
          <w:rFonts w:cs="Times New Roman"/>
          <w:sz w:val="24"/>
          <w:szCs w:val="24"/>
        </w:rPr>
        <w:lastRenderedPageBreak/>
        <w:t>Aplicado a MundiPets, la MDE comprende la cadena completa que conecta los requisitos del sistema con sus modelos de análisis y diseño, el diagrama de clases construido en Visual Paradigm y los artefactos de implementación derivados. Por ejemplo, una entidad del dominio como Mascota puede mantenerse relacionada con atributos, asociaciones y operaciones modeladas, de modo que los cambios estructurales puedan rastrearse hasta el código que corresponda.</w:t>
      </w:r>
    </w:p>
    <w:p w14:paraId="54B490EF"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2.2 Model-Driven Architecture (MDA): CIM, PIM y PSM</w:t>
      </w:r>
    </w:p>
    <w:p w14:paraId="2E29168A" w14:textId="77777777" w:rsidR="00887D1B" w:rsidRPr="00384E05" w:rsidRDefault="00000000">
      <w:pPr>
        <w:rPr>
          <w:rFonts w:cs="Times New Roman"/>
          <w:sz w:val="24"/>
          <w:szCs w:val="24"/>
        </w:rPr>
      </w:pPr>
      <w:r w:rsidRPr="00384E05">
        <w:rPr>
          <w:rFonts w:cs="Times New Roman"/>
          <w:sz w:val="24"/>
          <w:szCs w:val="24"/>
        </w:rPr>
        <w:t>Model-Driven Architecture (MDA) es una forma estructurada de aplicar principios dirigidos por modelos mediante la separación de niveles de abstracción. Estudios recientes sobre MDA mantienen la distinción entre Computation Independent Model (CIM), Platform Independent Model (PIM) y Platform Specific Model (PSM), y destacan que las transformaciones entre dichos niveles permiten reducir dependencias tempranas de la tecnología y automatizar parte del paso hacia la implementación [2], [6].</w:t>
      </w:r>
    </w:p>
    <w:tbl>
      <w:tblPr>
        <w:tblStyle w:val="Tablaconcuadrcula"/>
        <w:tblW w:w="0" w:type="auto"/>
        <w:jc w:val="center"/>
        <w:tblLook w:val="04A0" w:firstRow="1" w:lastRow="0" w:firstColumn="1" w:lastColumn="0" w:noHBand="0" w:noVBand="1"/>
      </w:tblPr>
      <w:tblGrid>
        <w:gridCol w:w="3130"/>
        <w:gridCol w:w="3132"/>
        <w:gridCol w:w="3134"/>
      </w:tblGrid>
      <w:tr w:rsidR="00887D1B" w:rsidRPr="00384E05" w14:paraId="089F2EA1" w14:textId="77777777">
        <w:trPr>
          <w:jc w:val="center"/>
        </w:trPr>
        <w:tc>
          <w:tcPr>
            <w:tcW w:w="3135" w:type="dxa"/>
            <w:shd w:val="clear" w:color="auto" w:fill="D9EAF7"/>
            <w:tcMar>
              <w:top w:w="80" w:type="dxa"/>
              <w:left w:w="80" w:type="dxa"/>
              <w:bottom w:w="80" w:type="dxa"/>
              <w:right w:w="80" w:type="dxa"/>
            </w:tcMar>
            <w:vAlign w:val="center"/>
          </w:tcPr>
          <w:p w14:paraId="79526D51" w14:textId="77777777" w:rsidR="00887D1B" w:rsidRPr="00384E05" w:rsidRDefault="00000000">
            <w:pPr>
              <w:spacing w:after="0"/>
              <w:jc w:val="left"/>
              <w:rPr>
                <w:rFonts w:cs="Times New Roman"/>
                <w:sz w:val="24"/>
                <w:szCs w:val="24"/>
              </w:rPr>
            </w:pPr>
            <w:r w:rsidRPr="00384E05">
              <w:rPr>
                <w:rFonts w:cs="Times New Roman"/>
                <w:b/>
                <w:sz w:val="24"/>
                <w:szCs w:val="24"/>
              </w:rPr>
              <w:t>Nivel</w:t>
            </w:r>
          </w:p>
        </w:tc>
        <w:tc>
          <w:tcPr>
            <w:tcW w:w="3135" w:type="dxa"/>
            <w:shd w:val="clear" w:color="auto" w:fill="D9EAF7"/>
            <w:tcMar>
              <w:top w:w="80" w:type="dxa"/>
              <w:left w:w="80" w:type="dxa"/>
              <w:bottom w:w="80" w:type="dxa"/>
              <w:right w:w="80" w:type="dxa"/>
            </w:tcMar>
            <w:vAlign w:val="center"/>
          </w:tcPr>
          <w:p w14:paraId="6A38BDAD" w14:textId="77777777" w:rsidR="00887D1B" w:rsidRPr="00384E05" w:rsidRDefault="00000000">
            <w:pPr>
              <w:spacing w:after="0"/>
              <w:jc w:val="left"/>
              <w:rPr>
                <w:rFonts w:cs="Times New Roman"/>
                <w:sz w:val="24"/>
                <w:szCs w:val="24"/>
              </w:rPr>
            </w:pPr>
            <w:r w:rsidRPr="00384E05">
              <w:rPr>
                <w:rFonts w:cs="Times New Roman"/>
                <w:b/>
                <w:sz w:val="24"/>
                <w:szCs w:val="24"/>
              </w:rPr>
              <w:t>Propósito</w:t>
            </w:r>
          </w:p>
        </w:tc>
        <w:tc>
          <w:tcPr>
            <w:tcW w:w="3135" w:type="dxa"/>
            <w:shd w:val="clear" w:color="auto" w:fill="D9EAF7"/>
            <w:tcMar>
              <w:top w:w="80" w:type="dxa"/>
              <w:left w:w="80" w:type="dxa"/>
              <w:bottom w:w="80" w:type="dxa"/>
              <w:right w:w="80" w:type="dxa"/>
            </w:tcMar>
            <w:vAlign w:val="center"/>
          </w:tcPr>
          <w:p w14:paraId="1DD17C6D" w14:textId="77777777" w:rsidR="00887D1B" w:rsidRPr="00384E05" w:rsidRDefault="00000000">
            <w:pPr>
              <w:spacing w:after="0"/>
              <w:jc w:val="left"/>
              <w:rPr>
                <w:rFonts w:cs="Times New Roman"/>
                <w:sz w:val="24"/>
                <w:szCs w:val="24"/>
              </w:rPr>
            </w:pPr>
            <w:r w:rsidRPr="00384E05">
              <w:rPr>
                <w:rFonts w:cs="Times New Roman"/>
                <w:b/>
                <w:sz w:val="24"/>
                <w:szCs w:val="24"/>
              </w:rPr>
              <w:t>Aplicación a MundiPets</w:t>
            </w:r>
          </w:p>
        </w:tc>
      </w:tr>
      <w:tr w:rsidR="00887D1B" w:rsidRPr="00384E05" w14:paraId="73CE0909" w14:textId="77777777">
        <w:trPr>
          <w:jc w:val="center"/>
        </w:trPr>
        <w:tc>
          <w:tcPr>
            <w:tcW w:w="3135" w:type="dxa"/>
            <w:tcMar>
              <w:top w:w="80" w:type="dxa"/>
              <w:left w:w="80" w:type="dxa"/>
              <w:bottom w:w="80" w:type="dxa"/>
              <w:right w:w="80" w:type="dxa"/>
            </w:tcMar>
            <w:vAlign w:val="center"/>
          </w:tcPr>
          <w:p w14:paraId="5DCC7F79" w14:textId="77777777" w:rsidR="00887D1B" w:rsidRPr="00384E05" w:rsidRDefault="00000000">
            <w:pPr>
              <w:spacing w:after="0"/>
              <w:jc w:val="left"/>
              <w:rPr>
                <w:rFonts w:cs="Times New Roman"/>
                <w:sz w:val="24"/>
                <w:szCs w:val="24"/>
              </w:rPr>
            </w:pPr>
            <w:r w:rsidRPr="00384E05">
              <w:rPr>
                <w:rFonts w:cs="Times New Roman"/>
                <w:b/>
                <w:sz w:val="24"/>
                <w:szCs w:val="24"/>
              </w:rPr>
              <w:t>CIM</w:t>
            </w:r>
          </w:p>
        </w:tc>
        <w:tc>
          <w:tcPr>
            <w:tcW w:w="3135" w:type="dxa"/>
            <w:tcMar>
              <w:top w:w="80" w:type="dxa"/>
              <w:left w:w="80" w:type="dxa"/>
              <w:bottom w:w="80" w:type="dxa"/>
              <w:right w:w="80" w:type="dxa"/>
            </w:tcMar>
            <w:vAlign w:val="center"/>
          </w:tcPr>
          <w:p w14:paraId="09432C83" w14:textId="77777777" w:rsidR="00887D1B" w:rsidRPr="00384E05" w:rsidRDefault="00000000">
            <w:pPr>
              <w:spacing w:after="0"/>
              <w:jc w:val="left"/>
              <w:rPr>
                <w:rFonts w:cs="Times New Roman"/>
                <w:sz w:val="24"/>
                <w:szCs w:val="24"/>
              </w:rPr>
            </w:pPr>
            <w:r w:rsidRPr="00384E05">
              <w:rPr>
                <w:rFonts w:cs="Times New Roman"/>
                <w:sz w:val="24"/>
                <w:szCs w:val="24"/>
              </w:rPr>
              <w:t>Describe el problema, objetivos, procesos y necesidades del negocio sin decidir tecnología.</w:t>
            </w:r>
          </w:p>
        </w:tc>
        <w:tc>
          <w:tcPr>
            <w:tcW w:w="3135" w:type="dxa"/>
            <w:tcMar>
              <w:top w:w="80" w:type="dxa"/>
              <w:left w:w="80" w:type="dxa"/>
              <w:bottom w:w="80" w:type="dxa"/>
              <w:right w:w="80" w:type="dxa"/>
            </w:tcMar>
            <w:vAlign w:val="center"/>
          </w:tcPr>
          <w:p w14:paraId="710F521D" w14:textId="77777777" w:rsidR="00887D1B" w:rsidRPr="00384E05" w:rsidRDefault="00000000">
            <w:pPr>
              <w:spacing w:after="0"/>
              <w:jc w:val="left"/>
              <w:rPr>
                <w:rFonts w:cs="Times New Roman"/>
                <w:sz w:val="24"/>
                <w:szCs w:val="24"/>
              </w:rPr>
            </w:pPr>
            <w:r w:rsidRPr="00384E05">
              <w:rPr>
                <w:rFonts w:cs="Times New Roman"/>
                <w:sz w:val="24"/>
                <w:szCs w:val="24"/>
              </w:rPr>
              <w:t>Necesidad de centralizar perfiles de mascotas, adopción/cruza responsable y validación de información sanitaria; requisitos y actores del SRS.</w:t>
            </w:r>
          </w:p>
        </w:tc>
      </w:tr>
      <w:tr w:rsidR="00887D1B" w:rsidRPr="00384E05" w14:paraId="167E9054" w14:textId="77777777">
        <w:trPr>
          <w:jc w:val="center"/>
        </w:trPr>
        <w:tc>
          <w:tcPr>
            <w:tcW w:w="3135" w:type="dxa"/>
            <w:tcMar>
              <w:top w:w="80" w:type="dxa"/>
              <w:left w:w="80" w:type="dxa"/>
              <w:bottom w:w="80" w:type="dxa"/>
              <w:right w:w="80" w:type="dxa"/>
            </w:tcMar>
            <w:vAlign w:val="center"/>
          </w:tcPr>
          <w:p w14:paraId="423D8AB1" w14:textId="77777777" w:rsidR="00887D1B" w:rsidRPr="00384E05" w:rsidRDefault="00000000">
            <w:pPr>
              <w:spacing w:after="0"/>
              <w:jc w:val="left"/>
              <w:rPr>
                <w:rFonts w:cs="Times New Roman"/>
                <w:sz w:val="24"/>
                <w:szCs w:val="24"/>
              </w:rPr>
            </w:pPr>
            <w:r w:rsidRPr="00384E05">
              <w:rPr>
                <w:rFonts w:cs="Times New Roman"/>
                <w:b/>
                <w:sz w:val="24"/>
                <w:szCs w:val="24"/>
              </w:rPr>
              <w:t>PIM</w:t>
            </w:r>
          </w:p>
        </w:tc>
        <w:tc>
          <w:tcPr>
            <w:tcW w:w="3135" w:type="dxa"/>
            <w:tcMar>
              <w:top w:w="80" w:type="dxa"/>
              <w:left w:w="80" w:type="dxa"/>
              <w:bottom w:w="80" w:type="dxa"/>
              <w:right w:w="80" w:type="dxa"/>
            </w:tcMar>
            <w:vAlign w:val="center"/>
          </w:tcPr>
          <w:p w14:paraId="4DFE7BD8" w14:textId="77777777" w:rsidR="00887D1B" w:rsidRPr="00384E05" w:rsidRDefault="00000000">
            <w:pPr>
              <w:spacing w:after="0"/>
              <w:jc w:val="left"/>
              <w:rPr>
                <w:rFonts w:cs="Times New Roman"/>
                <w:sz w:val="24"/>
                <w:szCs w:val="24"/>
              </w:rPr>
            </w:pPr>
            <w:r w:rsidRPr="00384E05">
              <w:rPr>
                <w:rFonts w:cs="Times New Roman"/>
                <w:sz w:val="24"/>
                <w:szCs w:val="24"/>
              </w:rPr>
              <w:t>Describe estructura y comportamiento del software sin comprometerlo con una plataforma concreta.</w:t>
            </w:r>
          </w:p>
        </w:tc>
        <w:tc>
          <w:tcPr>
            <w:tcW w:w="3135" w:type="dxa"/>
            <w:tcMar>
              <w:top w:w="80" w:type="dxa"/>
              <w:left w:w="80" w:type="dxa"/>
              <w:bottom w:w="80" w:type="dxa"/>
              <w:right w:w="80" w:type="dxa"/>
            </w:tcMar>
            <w:vAlign w:val="center"/>
          </w:tcPr>
          <w:p w14:paraId="36E1FB9D" w14:textId="77777777" w:rsidR="00887D1B" w:rsidRPr="00384E05" w:rsidRDefault="00000000">
            <w:pPr>
              <w:spacing w:after="0"/>
              <w:jc w:val="left"/>
              <w:rPr>
                <w:rFonts w:cs="Times New Roman"/>
                <w:sz w:val="24"/>
                <w:szCs w:val="24"/>
              </w:rPr>
            </w:pPr>
            <w:r w:rsidRPr="00384E05">
              <w:rPr>
                <w:rFonts w:cs="Times New Roman"/>
                <w:sz w:val="24"/>
                <w:szCs w:val="24"/>
              </w:rPr>
              <w:t>Modelo UML del subsistema con clases como Mascota, HistorialMedico, DocumentoVeterinario, CarnetVacunacion y ValidacionMedica, con asociaciones y operaciones.</w:t>
            </w:r>
          </w:p>
        </w:tc>
      </w:tr>
      <w:tr w:rsidR="00887D1B" w:rsidRPr="00384E05" w14:paraId="7D4FF0C9" w14:textId="77777777">
        <w:trPr>
          <w:jc w:val="center"/>
        </w:trPr>
        <w:tc>
          <w:tcPr>
            <w:tcW w:w="3135" w:type="dxa"/>
            <w:tcMar>
              <w:top w:w="80" w:type="dxa"/>
              <w:left w:w="80" w:type="dxa"/>
              <w:bottom w:w="80" w:type="dxa"/>
              <w:right w:w="80" w:type="dxa"/>
            </w:tcMar>
            <w:vAlign w:val="center"/>
          </w:tcPr>
          <w:p w14:paraId="10739546" w14:textId="77777777" w:rsidR="00887D1B" w:rsidRPr="00384E05" w:rsidRDefault="00000000">
            <w:pPr>
              <w:spacing w:after="0"/>
              <w:jc w:val="left"/>
              <w:rPr>
                <w:rFonts w:cs="Times New Roman"/>
                <w:sz w:val="24"/>
                <w:szCs w:val="24"/>
              </w:rPr>
            </w:pPr>
            <w:r w:rsidRPr="00384E05">
              <w:rPr>
                <w:rFonts w:cs="Times New Roman"/>
                <w:b/>
                <w:sz w:val="24"/>
                <w:szCs w:val="24"/>
              </w:rPr>
              <w:t>PSM</w:t>
            </w:r>
          </w:p>
        </w:tc>
        <w:tc>
          <w:tcPr>
            <w:tcW w:w="3135" w:type="dxa"/>
            <w:tcMar>
              <w:top w:w="80" w:type="dxa"/>
              <w:left w:w="80" w:type="dxa"/>
              <w:bottom w:w="80" w:type="dxa"/>
              <w:right w:w="80" w:type="dxa"/>
            </w:tcMar>
            <w:vAlign w:val="center"/>
          </w:tcPr>
          <w:p w14:paraId="3D325F18" w14:textId="77777777" w:rsidR="00887D1B" w:rsidRPr="00384E05" w:rsidRDefault="00000000">
            <w:pPr>
              <w:spacing w:after="0"/>
              <w:jc w:val="left"/>
              <w:rPr>
                <w:rFonts w:cs="Times New Roman"/>
                <w:sz w:val="24"/>
                <w:szCs w:val="24"/>
              </w:rPr>
            </w:pPr>
            <w:r w:rsidRPr="00384E05">
              <w:rPr>
                <w:rFonts w:cs="Times New Roman"/>
                <w:sz w:val="24"/>
                <w:szCs w:val="24"/>
              </w:rPr>
              <w:t>Añade decisiones tecnológicas necesarias para construir el sistema en una plataforma objetivo.</w:t>
            </w:r>
          </w:p>
        </w:tc>
        <w:tc>
          <w:tcPr>
            <w:tcW w:w="3135" w:type="dxa"/>
            <w:tcMar>
              <w:top w:w="80" w:type="dxa"/>
              <w:left w:w="80" w:type="dxa"/>
              <w:bottom w:w="80" w:type="dxa"/>
              <w:right w:w="80" w:type="dxa"/>
            </w:tcMar>
            <w:vAlign w:val="center"/>
          </w:tcPr>
          <w:p w14:paraId="5076EC31" w14:textId="77777777" w:rsidR="00887D1B" w:rsidRPr="00384E05" w:rsidRDefault="00000000">
            <w:pPr>
              <w:spacing w:after="0"/>
              <w:jc w:val="left"/>
              <w:rPr>
                <w:rFonts w:cs="Times New Roman"/>
                <w:sz w:val="24"/>
                <w:szCs w:val="24"/>
              </w:rPr>
            </w:pPr>
            <w:r w:rsidRPr="00384E05">
              <w:rPr>
                <w:rFonts w:cs="Times New Roman"/>
                <w:sz w:val="24"/>
                <w:szCs w:val="24"/>
              </w:rPr>
              <w:t>El mismo modelo enriquecido con convenciones del lenguaje, tipos concretos, paquetes, persistencia y estereotipos/anotaciones según la configuración definitiva del generador.</w:t>
            </w:r>
          </w:p>
        </w:tc>
      </w:tr>
    </w:tbl>
    <w:p w14:paraId="7ED538D1" w14:textId="77777777" w:rsidR="00887D1B" w:rsidRPr="00384E05" w:rsidRDefault="00000000">
      <w:pPr>
        <w:rPr>
          <w:rFonts w:cs="Times New Roman"/>
          <w:sz w:val="24"/>
          <w:szCs w:val="24"/>
        </w:rPr>
      </w:pPr>
      <w:r w:rsidRPr="00384E05">
        <w:rPr>
          <w:rFonts w:cs="Times New Roman"/>
          <w:sz w:val="24"/>
          <w:szCs w:val="24"/>
        </w:rPr>
        <w:t>Para la demostración del equipo, el PIM debe conservar la lógica del dominio de MundiPets sin depender del lenguaje de salida. El PSM se obtiene cuando el modelo incorpora información específica para la generación. Esta separación es importante porque permite explicar con claridad qué información pertenece al problema y cuál fue introducida exclusivamente para materializar el código [2].</w:t>
      </w:r>
    </w:p>
    <w:p w14:paraId="54F1960C"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lastRenderedPageBreak/>
        <w:t>2.3 Desarrollo dirigido por modelos (MDD)</w:t>
      </w:r>
    </w:p>
    <w:p w14:paraId="53162865" w14:textId="77777777" w:rsidR="00887D1B" w:rsidRPr="00384E05" w:rsidRDefault="00000000">
      <w:pPr>
        <w:rPr>
          <w:rFonts w:cs="Times New Roman"/>
          <w:sz w:val="24"/>
          <w:szCs w:val="24"/>
        </w:rPr>
      </w:pPr>
      <w:r w:rsidRPr="00384E05">
        <w:rPr>
          <w:rFonts w:cs="Times New Roman"/>
          <w:sz w:val="24"/>
          <w:szCs w:val="24"/>
        </w:rPr>
        <w:t>Model-Driven Development (MDD) se concentra específicamente en utilizar modelos como principal insumo del desarrollo y en automatizar la obtención de artefactos ejecutables o cercanos a la implementación. En este sentido, puede entenderse como una aplicación orientada al desarrollo dentro del marco más amplio de MDE. La generación automática de código es uno de sus mecanismos más visibles y ha sido estudiada como medio para aumentar productividad, repetibilidad y trazabilidad, aunque su efectividad depende de la calidad del modelo y del generador utilizado [1], [6].</w:t>
      </w:r>
    </w:p>
    <w:p w14:paraId="141882F6" w14:textId="77777777" w:rsidR="00887D1B" w:rsidRPr="00384E05" w:rsidRDefault="00000000">
      <w:pPr>
        <w:rPr>
          <w:rFonts w:cs="Times New Roman"/>
          <w:sz w:val="24"/>
          <w:szCs w:val="24"/>
        </w:rPr>
      </w:pPr>
      <w:r w:rsidRPr="00384E05">
        <w:rPr>
          <w:rFonts w:cs="Times New Roman"/>
          <w:sz w:val="24"/>
          <w:szCs w:val="24"/>
        </w:rPr>
        <w:t>En MundiPets, la demostración MDD no pretende generar la plataforma completa. El propósito es evidenciar un ciclo controlado sobre un subsistema representativo: modelar sus clases en Visual Paradigm, aplicar la configuración de generación, obtener código, verificar la correspondencia modelo–código y ejecutar un cambio que demuestre el roundtrip.</w:t>
      </w:r>
    </w:p>
    <w:p w14:paraId="0B64C9CC"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2.4 Transformaciones M2M y M2T</w:t>
      </w:r>
    </w:p>
    <w:p w14:paraId="349E53F4" w14:textId="77777777" w:rsidR="00887D1B" w:rsidRPr="00384E05" w:rsidRDefault="00000000">
      <w:pPr>
        <w:rPr>
          <w:rFonts w:cs="Times New Roman"/>
          <w:sz w:val="24"/>
          <w:szCs w:val="24"/>
        </w:rPr>
      </w:pPr>
      <w:r w:rsidRPr="00384E05">
        <w:rPr>
          <w:rFonts w:cs="Times New Roman"/>
          <w:sz w:val="24"/>
          <w:szCs w:val="24"/>
        </w:rPr>
        <w:t xml:space="preserve">Las transformaciones Model-to-Model (M2M) convierten un modelo origen en otro modelo destino. Dentro del ecosistema OMG, QVT (Query/View/Transformation) constituye la familia de lenguajes de referencia para expresar transformaciones entre modelos conformes a metamodelos. Conceptualmente, una transformación M2M puede utilizarse para refinar </w:t>
      </w:r>
      <w:proofErr w:type="gramStart"/>
      <w:r w:rsidRPr="00384E05">
        <w:rPr>
          <w:rFonts w:cs="Times New Roman"/>
          <w:sz w:val="24"/>
          <w:szCs w:val="24"/>
        </w:rPr>
        <w:t>un PIM</w:t>
      </w:r>
      <w:proofErr w:type="gramEnd"/>
      <w:r w:rsidRPr="00384E05">
        <w:rPr>
          <w:rFonts w:cs="Times New Roman"/>
          <w:sz w:val="24"/>
          <w:szCs w:val="24"/>
        </w:rPr>
        <w:t xml:space="preserve"> hacia un PSM, incorporando información tecnológica que no estaba presente en el modelo independiente de plataforma [2].</w:t>
      </w:r>
    </w:p>
    <w:p w14:paraId="39077E00" w14:textId="77777777" w:rsidR="00887D1B" w:rsidRPr="00384E05" w:rsidRDefault="00000000">
      <w:pPr>
        <w:rPr>
          <w:rFonts w:cs="Times New Roman"/>
          <w:sz w:val="24"/>
          <w:szCs w:val="24"/>
        </w:rPr>
      </w:pPr>
      <w:r w:rsidRPr="00384E05">
        <w:rPr>
          <w:rFonts w:cs="Times New Roman"/>
          <w:sz w:val="24"/>
          <w:szCs w:val="24"/>
        </w:rPr>
        <w:t>Las transformaciones Model-to-Text (M2T) producen artefactos textuales a partir de un modelo. El caso típico es la generación de código fuente, aunque también pueden generarse archivos de configuración o documentación. MOFM2T representa la especificación OMG para este tipo de transformación basada en plantillas. Investigaciones recientes sobre M2T muestran que las plantillas combinan texto fijo con expresiones que consultan el modelo, y que la regeneración requiere mecanismos para evitar la pérdida de código escrito manualmente, como regiones protegidas o estrategias de sincronización [4].</w:t>
      </w:r>
    </w:p>
    <w:tbl>
      <w:tblPr>
        <w:tblStyle w:val="Tablaconcuadrcula"/>
        <w:tblW w:w="0" w:type="auto"/>
        <w:jc w:val="center"/>
        <w:tblLook w:val="04A0" w:firstRow="1" w:lastRow="0" w:firstColumn="1" w:lastColumn="0" w:noHBand="0" w:noVBand="1"/>
      </w:tblPr>
      <w:tblGrid>
        <w:gridCol w:w="2349"/>
        <w:gridCol w:w="2349"/>
        <w:gridCol w:w="2349"/>
        <w:gridCol w:w="2349"/>
      </w:tblGrid>
      <w:tr w:rsidR="00887D1B" w:rsidRPr="00384E05" w14:paraId="3B386E18" w14:textId="77777777">
        <w:trPr>
          <w:jc w:val="center"/>
        </w:trPr>
        <w:tc>
          <w:tcPr>
            <w:tcW w:w="2351" w:type="dxa"/>
            <w:shd w:val="clear" w:color="auto" w:fill="D9EAF7"/>
            <w:tcMar>
              <w:top w:w="80" w:type="dxa"/>
              <w:left w:w="80" w:type="dxa"/>
              <w:bottom w:w="80" w:type="dxa"/>
              <w:right w:w="80" w:type="dxa"/>
            </w:tcMar>
            <w:vAlign w:val="center"/>
          </w:tcPr>
          <w:p w14:paraId="6F798EFA" w14:textId="77777777" w:rsidR="00887D1B" w:rsidRPr="00384E05" w:rsidRDefault="00000000">
            <w:pPr>
              <w:spacing w:after="0"/>
              <w:jc w:val="left"/>
              <w:rPr>
                <w:rFonts w:cs="Times New Roman"/>
                <w:sz w:val="24"/>
                <w:szCs w:val="24"/>
              </w:rPr>
            </w:pPr>
            <w:r w:rsidRPr="00384E05">
              <w:rPr>
                <w:rFonts w:cs="Times New Roman"/>
                <w:b/>
                <w:sz w:val="24"/>
                <w:szCs w:val="24"/>
              </w:rPr>
              <w:t>Tipo</w:t>
            </w:r>
          </w:p>
        </w:tc>
        <w:tc>
          <w:tcPr>
            <w:tcW w:w="2351" w:type="dxa"/>
            <w:shd w:val="clear" w:color="auto" w:fill="D9EAF7"/>
            <w:tcMar>
              <w:top w:w="80" w:type="dxa"/>
              <w:left w:w="80" w:type="dxa"/>
              <w:bottom w:w="80" w:type="dxa"/>
              <w:right w:w="80" w:type="dxa"/>
            </w:tcMar>
            <w:vAlign w:val="center"/>
          </w:tcPr>
          <w:p w14:paraId="256F09E1" w14:textId="77777777" w:rsidR="00887D1B" w:rsidRPr="00384E05" w:rsidRDefault="00000000">
            <w:pPr>
              <w:spacing w:after="0"/>
              <w:jc w:val="left"/>
              <w:rPr>
                <w:rFonts w:cs="Times New Roman"/>
                <w:sz w:val="24"/>
                <w:szCs w:val="24"/>
              </w:rPr>
            </w:pPr>
            <w:r w:rsidRPr="00384E05">
              <w:rPr>
                <w:rFonts w:cs="Times New Roman"/>
                <w:b/>
                <w:sz w:val="24"/>
                <w:szCs w:val="24"/>
              </w:rPr>
              <w:t>Entrada</w:t>
            </w:r>
          </w:p>
        </w:tc>
        <w:tc>
          <w:tcPr>
            <w:tcW w:w="2351" w:type="dxa"/>
            <w:shd w:val="clear" w:color="auto" w:fill="D9EAF7"/>
            <w:tcMar>
              <w:top w:w="80" w:type="dxa"/>
              <w:left w:w="80" w:type="dxa"/>
              <w:bottom w:w="80" w:type="dxa"/>
              <w:right w:w="80" w:type="dxa"/>
            </w:tcMar>
            <w:vAlign w:val="center"/>
          </w:tcPr>
          <w:p w14:paraId="2FDAB65C" w14:textId="77777777" w:rsidR="00887D1B" w:rsidRPr="00384E05" w:rsidRDefault="00000000">
            <w:pPr>
              <w:spacing w:after="0"/>
              <w:jc w:val="left"/>
              <w:rPr>
                <w:rFonts w:cs="Times New Roman"/>
                <w:sz w:val="24"/>
                <w:szCs w:val="24"/>
              </w:rPr>
            </w:pPr>
            <w:r w:rsidRPr="00384E05">
              <w:rPr>
                <w:rFonts w:cs="Times New Roman"/>
                <w:b/>
                <w:sz w:val="24"/>
                <w:szCs w:val="24"/>
              </w:rPr>
              <w:t>Salida</w:t>
            </w:r>
          </w:p>
        </w:tc>
        <w:tc>
          <w:tcPr>
            <w:tcW w:w="2351" w:type="dxa"/>
            <w:shd w:val="clear" w:color="auto" w:fill="D9EAF7"/>
            <w:tcMar>
              <w:top w:w="80" w:type="dxa"/>
              <w:left w:w="80" w:type="dxa"/>
              <w:bottom w:w="80" w:type="dxa"/>
              <w:right w:w="80" w:type="dxa"/>
            </w:tcMar>
            <w:vAlign w:val="center"/>
          </w:tcPr>
          <w:p w14:paraId="7492B50B" w14:textId="77777777" w:rsidR="00887D1B" w:rsidRPr="00384E05" w:rsidRDefault="00000000">
            <w:pPr>
              <w:spacing w:after="0"/>
              <w:jc w:val="left"/>
              <w:rPr>
                <w:rFonts w:cs="Times New Roman"/>
                <w:sz w:val="24"/>
                <w:szCs w:val="24"/>
              </w:rPr>
            </w:pPr>
            <w:r w:rsidRPr="00384E05">
              <w:rPr>
                <w:rFonts w:cs="Times New Roman"/>
                <w:b/>
                <w:sz w:val="24"/>
                <w:szCs w:val="24"/>
              </w:rPr>
              <w:t>Ejemplo en MundiPets</w:t>
            </w:r>
          </w:p>
        </w:tc>
      </w:tr>
      <w:tr w:rsidR="00887D1B" w:rsidRPr="00384E05" w14:paraId="1BF4A9C4" w14:textId="77777777">
        <w:trPr>
          <w:jc w:val="center"/>
        </w:trPr>
        <w:tc>
          <w:tcPr>
            <w:tcW w:w="2351" w:type="dxa"/>
            <w:tcMar>
              <w:top w:w="80" w:type="dxa"/>
              <w:left w:w="80" w:type="dxa"/>
              <w:bottom w:w="80" w:type="dxa"/>
              <w:right w:w="80" w:type="dxa"/>
            </w:tcMar>
            <w:vAlign w:val="center"/>
          </w:tcPr>
          <w:p w14:paraId="7EE4555F" w14:textId="77777777" w:rsidR="00887D1B" w:rsidRPr="00384E05" w:rsidRDefault="00000000">
            <w:pPr>
              <w:spacing w:after="0"/>
              <w:jc w:val="left"/>
              <w:rPr>
                <w:rFonts w:cs="Times New Roman"/>
                <w:sz w:val="24"/>
                <w:szCs w:val="24"/>
              </w:rPr>
            </w:pPr>
            <w:r w:rsidRPr="00384E05">
              <w:rPr>
                <w:rFonts w:cs="Times New Roman"/>
                <w:b/>
                <w:sz w:val="24"/>
                <w:szCs w:val="24"/>
              </w:rPr>
              <w:t>M2M</w:t>
            </w:r>
          </w:p>
        </w:tc>
        <w:tc>
          <w:tcPr>
            <w:tcW w:w="2351" w:type="dxa"/>
            <w:tcMar>
              <w:top w:w="80" w:type="dxa"/>
              <w:left w:w="80" w:type="dxa"/>
              <w:bottom w:w="80" w:type="dxa"/>
              <w:right w:w="80" w:type="dxa"/>
            </w:tcMar>
            <w:vAlign w:val="center"/>
          </w:tcPr>
          <w:p w14:paraId="18AC28BB" w14:textId="77777777" w:rsidR="00887D1B" w:rsidRPr="00384E05" w:rsidRDefault="00000000">
            <w:pPr>
              <w:spacing w:after="0"/>
              <w:jc w:val="left"/>
              <w:rPr>
                <w:rFonts w:cs="Times New Roman"/>
                <w:sz w:val="24"/>
                <w:szCs w:val="24"/>
              </w:rPr>
            </w:pPr>
            <w:r w:rsidRPr="00384E05">
              <w:rPr>
                <w:rFonts w:cs="Times New Roman"/>
                <w:sz w:val="24"/>
                <w:szCs w:val="24"/>
              </w:rPr>
              <w:t>Modelo UML/PIM</w:t>
            </w:r>
          </w:p>
        </w:tc>
        <w:tc>
          <w:tcPr>
            <w:tcW w:w="2351" w:type="dxa"/>
            <w:tcMar>
              <w:top w:w="80" w:type="dxa"/>
              <w:left w:w="80" w:type="dxa"/>
              <w:bottom w:w="80" w:type="dxa"/>
              <w:right w:w="80" w:type="dxa"/>
            </w:tcMar>
            <w:vAlign w:val="center"/>
          </w:tcPr>
          <w:p w14:paraId="1FA3544B" w14:textId="77777777" w:rsidR="00887D1B" w:rsidRPr="00384E05" w:rsidRDefault="00000000">
            <w:pPr>
              <w:spacing w:after="0"/>
              <w:jc w:val="left"/>
              <w:rPr>
                <w:rFonts w:cs="Times New Roman"/>
                <w:sz w:val="24"/>
                <w:szCs w:val="24"/>
              </w:rPr>
            </w:pPr>
            <w:r w:rsidRPr="00384E05">
              <w:rPr>
                <w:rFonts w:cs="Times New Roman"/>
                <w:sz w:val="24"/>
                <w:szCs w:val="24"/>
              </w:rPr>
              <w:t>Modelo refinado/PSM</w:t>
            </w:r>
          </w:p>
        </w:tc>
        <w:tc>
          <w:tcPr>
            <w:tcW w:w="2351" w:type="dxa"/>
            <w:tcMar>
              <w:top w:w="80" w:type="dxa"/>
              <w:left w:w="80" w:type="dxa"/>
              <w:bottom w:w="80" w:type="dxa"/>
              <w:right w:w="80" w:type="dxa"/>
            </w:tcMar>
            <w:vAlign w:val="center"/>
          </w:tcPr>
          <w:p w14:paraId="57E58A3A" w14:textId="77777777" w:rsidR="00887D1B" w:rsidRPr="00384E05" w:rsidRDefault="00000000">
            <w:pPr>
              <w:spacing w:after="0"/>
              <w:jc w:val="left"/>
              <w:rPr>
                <w:rFonts w:cs="Times New Roman"/>
                <w:sz w:val="24"/>
                <w:szCs w:val="24"/>
              </w:rPr>
            </w:pPr>
            <w:r w:rsidRPr="00384E05">
              <w:rPr>
                <w:rFonts w:cs="Times New Roman"/>
                <w:sz w:val="24"/>
                <w:szCs w:val="24"/>
              </w:rPr>
              <w:t>Agregar detalles tecnológicos, mapeos de persistencia o convenciones necesarias para el generador.</w:t>
            </w:r>
          </w:p>
        </w:tc>
      </w:tr>
      <w:tr w:rsidR="00887D1B" w:rsidRPr="00384E05" w14:paraId="3C722AB7" w14:textId="77777777">
        <w:trPr>
          <w:jc w:val="center"/>
        </w:trPr>
        <w:tc>
          <w:tcPr>
            <w:tcW w:w="2351" w:type="dxa"/>
            <w:tcMar>
              <w:top w:w="80" w:type="dxa"/>
              <w:left w:w="80" w:type="dxa"/>
              <w:bottom w:w="80" w:type="dxa"/>
              <w:right w:w="80" w:type="dxa"/>
            </w:tcMar>
            <w:vAlign w:val="center"/>
          </w:tcPr>
          <w:p w14:paraId="14217DC0" w14:textId="77777777" w:rsidR="00887D1B" w:rsidRPr="00384E05" w:rsidRDefault="00000000">
            <w:pPr>
              <w:spacing w:after="0"/>
              <w:jc w:val="left"/>
              <w:rPr>
                <w:rFonts w:cs="Times New Roman"/>
                <w:sz w:val="24"/>
                <w:szCs w:val="24"/>
              </w:rPr>
            </w:pPr>
            <w:r w:rsidRPr="00384E05">
              <w:rPr>
                <w:rFonts w:cs="Times New Roman"/>
                <w:b/>
                <w:sz w:val="24"/>
                <w:szCs w:val="24"/>
              </w:rPr>
              <w:t>M2T</w:t>
            </w:r>
          </w:p>
        </w:tc>
        <w:tc>
          <w:tcPr>
            <w:tcW w:w="2351" w:type="dxa"/>
            <w:tcMar>
              <w:top w:w="80" w:type="dxa"/>
              <w:left w:w="80" w:type="dxa"/>
              <w:bottom w:w="80" w:type="dxa"/>
              <w:right w:w="80" w:type="dxa"/>
            </w:tcMar>
            <w:vAlign w:val="center"/>
          </w:tcPr>
          <w:p w14:paraId="63E1F568" w14:textId="77777777" w:rsidR="00887D1B" w:rsidRPr="00384E05" w:rsidRDefault="00000000">
            <w:pPr>
              <w:spacing w:after="0"/>
              <w:jc w:val="left"/>
              <w:rPr>
                <w:rFonts w:cs="Times New Roman"/>
                <w:sz w:val="24"/>
                <w:szCs w:val="24"/>
              </w:rPr>
            </w:pPr>
            <w:r w:rsidRPr="00384E05">
              <w:rPr>
                <w:rFonts w:cs="Times New Roman"/>
                <w:sz w:val="24"/>
                <w:szCs w:val="24"/>
              </w:rPr>
              <w:t>Modelo/PSM</w:t>
            </w:r>
          </w:p>
        </w:tc>
        <w:tc>
          <w:tcPr>
            <w:tcW w:w="2351" w:type="dxa"/>
            <w:tcMar>
              <w:top w:w="80" w:type="dxa"/>
              <w:left w:w="80" w:type="dxa"/>
              <w:bottom w:w="80" w:type="dxa"/>
              <w:right w:w="80" w:type="dxa"/>
            </w:tcMar>
            <w:vAlign w:val="center"/>
          </w:tcPr>
          <w:p w14:paraId="6E907BA2" w14:textId="77777777" w:rsidR="00887D1B" w:rsidRPr="00384E05" w:rsidRDefault="00000000">
            <w:pPr>
              <w:spacing w:after="0"/>
              <w:jc w:val="left"/>
              <w:rPr>
                <w:rFonts w:cs="Times New Roman"/>
                <w:sz w:val="24"/>
                <w:szCs w:val="24"/>
              </w:rPr>
            </w:pPr>
            <w:r w:rsidRPr="00384E05">
              <w:rPr>
                <w:rFonts w:cs="Times New Roman"/>
                <w:sz w:val="24"/>
                <w:szCs w:val="24"/>
              </w:rPr>
              <w:t>Código o texto</w:t>
            </w:r>
          </w:p>
        </w:tc>
        <w:tc>
          <w:tcPr>
            <w:tcW w:w="2351" w:type="dxa"/>
            <w:tcMar>
              <w:top w:w="80" w:type="dxa"/>
              <w:left w:w="80" w:type="dxa"/>
              <w:bottom w:w="80" w:type="dxa"/>
              <w:right w:w="80" w:type="dxa"/>
            </w:tcMar>
            <w:vAlign w:val="center"/>
          </w:tcPr>
          <w:p w14:paraId="37E3E26C" w14:textId="77777777" w:rsidR="00887D1B" w:rsidRPr="00384E05" w:rsidRDefault="00000000">
            <w:pPr>
              <w:spacing w:after="0"/>
              <w:jc w:val="left"/>
              <w:rPr>
                <w:rFonts w:cs="Times New Roman"/>
                <w:sz w:val="24"/>
                <w:szCs w:val="24"/>
              </w:rPr>
            </w:pPr>
            <w:r w:rsidRPr="00384E05">
              <w:rPr>
                <w:rFonts w:cs="Times New Roman"/>
                <w:sz w:val="24"/>
                <w:szCs w:val="24"/>
              </w:rPr>
              <w:t>Generar clases, atributos, métodos y otros archivos del proyecto a partir del modelo configurado en Visual Paradigm.</w:t>
            </w:r>
          </w:p>
        </w:tc>
      </w:tr>
    </w:tbl>
    <w:p w14:paraId="02DD9463"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lastRenderedPageBreak/>
        <w:t>2.5 Metamodelos, perfiles UML, estereotipos y plantillas</w:t>
      </w:r>
    </w:p>
    <w:p w14:paraId="09924EA5" w14:textId="77777777" w:rsidR="00887D1B" w:rsidRPr="00384E05" w:rsidRDefault="00000000">
      <w:pPr>
        <w:rPr>
          <w:rFonts w:cs="Times New Roman"/>
          <w:sz w:val="24"/>
          <w:szCs w:val="24"/>
        </w:rPr>
      </w:pPr>
      <w:r w:rsidRPr="00384E05">
        <w:rPr>
          <w:rFonts w:cs="Times New Roman"/>
          <w:sz w:val="24"/>
          <w:szCs w:val="24"/>
        </w:rPr>
        <w:t>Un metamodelo define los conceptos válidos de un lenguaje de modelado y las relaciones que pueden existir entre ellos; por ello, un modelo UML debe ajustarse a las reglas de su metamodelo. Sobre esta base, los perfiles UML permiten especializar el lenguaje sin crear una notación completamente nueva. Un perfil puede introducir estereotipos, valores etiquetados y restricciones para expresar información adicional que será interpretada por herramientas o generadores.</w:t>
      </w:r>
    </w:p>
    <w:p w14:paraId="4CDFB7A8" w14:textId="77777777" w:rsidR="00887D1B" w:rsidRPr="00384E05" w:rsidRDefault="00000000">
      <w:pPr>
        <w:rPr>
          <w:rFonts w:cs="Times New Roman"/>
          <w:sz w:val="24"/>
          <w:szCs w:val="24"/>
        </w:rPr>
      </w:pPr>
      <w:r w:rsidRPr="00384E05">
        <w:rPr>
          <w:rFonts w:cs="Times New Roman"/>
          <w:sz w:val="24"/>
          <w:szCs w:val="24"/>
        </w:rPr>
        <w:t>En una demostración de MundiPets pueden emplearse, cuando la configuración elegida lo requiera, estereotipos como «Entity», «Service» o «Controller» para diferenciar responsabilidades. Estos estereotipos no deben añadirse como decoración: su utilidad radica en que exista una regla explícita de mapeo hacia el código generado. De manera similar, las plantillas de generación establecen cómo cada elemento del modelo se convierte en texto. La automatización es reproducible únicamente cuando modelo, reglas y plantillas se versionan de forma conjunta [1], [3], [5].</w:t>
      </w:r>
    </w:p>
    <w:p w14:paraId="3D957CD7"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2.6 Forward engineering, reverse engineering y round-trip engineering</w:t>
      </w:r>
    </w:p>
    <w:p w14:paraId="2AE32657" w14:textId="77777777" w:rsidR="00887D1B" w:rsidRPr="00384E05" w:rsidRDefault="00000000">
      <w:pPr>
        <w:rPr>
          <w:rFonts w:cs="Times New Roman"/>
          <w:sz w:val="24"/>
          <w:szCs w:val="24"/>
        </w:rPr>
      </w:pPr>
      <w:r w:rsidRPr="00384E05">
        <w:rPr>
          <w:rFonts w:cs="Times New Roman"/>
          <w:sz w:val="24"/>
          <w:szCs w:val="24"/>
        </w:rPr>
        <w:t>Forward engineering es el proceso de derivar código u otros artefactos de implementación a partir del modelo. Reverse engineering realiza el recorrido inverso: analiza una implementación existente para reconstruir o actualizar una representación de diseño. Round-trip engineering busca mantener sincronizados ambos lados cuando existen cambios sucesivos. Este último escenario es el más exigente porque una regeneración puede sobrescribir modificaciones manuales si la herramienta no dispone de una política clara de fusión o protección [4].</w:t>
      </w:r>
    </w:p>
    <w:p w14:paraId="67429019" w14:textId="77777777" w:rsidR="00887D1B" w:rsidRPr="00384E05" w:rsidRDefault="00000000">
      <w:pPr>
        <w:rPr>
          <w:rFonts w:cs="Times New Roman"/>
          <w:sz w:val="24"/>
          <w:szCs w:val="24"/>
        </w:rPr>
      </w:pPr>
      <w:r w:rsidRPr="00384E05">
        <w:rPr>
          <w:rFonts w:cs="Times New Roman"/>
          <w:sz w:val="24"/>
          <w:szCs w:val="24"/>
        </w:rPr>
        <w:t>Para la evidencia de MundiPets, el ciclo mínimo debe mostrar: modelo inicial → generación de código → verificación → cambio no trivial en el modelo → regeneración → comprobación del cambio. La trazabilidad entre clases, atributos, operaciones y archivos generados permite demostrar que el resultado no es una copia manual, sino una transformación repetible y verificable.</w:t>
      </w:r>
    </w:p>
    <w:p w14:paraId="54D5AB90" w14:textId="77777777" w:rsidR="00887D1B" w:rsidRPr="00384E05" w:rsidRDefault="00000000">
      <w:pPr>
        <w:pStyle w:val="Ttulo1"/>
        <w:rPr>
          <w:rFonts w:ascii="Times New Roman" w:hAnsi="Times New Roman" w:cs="Times New Roman"/>
          <w:color w:val="000000" w:themeColor="text1"/>
          <w:sz w:val="24"/>
          <w:szCs w:val="24"/>
        </w:rPr>
      </w:pPr>
      <w:r w:rsidRPr="00384E05">
        <w:rPr>
          <w:rFonts w:ascii="Times New Roman" w:hAnsi="Times New Roman" w:cs="Times New Roman"/>
          <w:color w:val="000000" w:themeColor="text1"/>
          <w:sz w:val="24"/>
          <w:szCs w:val="24"/>
        </w:rPr>
        <w:t>4. Descripción del subsistema del PFC modelado</w:t>
      </w:r>
    </w:p>
    <w:p w14:paraId="2423A62E"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4.1 Subsistema seleccionado: gestión del perfil de mascota y validación de información médica</w:t>
      </w:r>
    </w:p>
    <w:p w14:paraId="06AAF7A6" w14:textId="77777777" w:rsidR="00887D1B" w:rsidRPr="00384E05" w:rsidRDefault="00000000">
      <w:pPr>
        <w:rPr>
          <w:rFonts w:cs="Times New Roman"/>
          <w:sz w:val="24"/>
          <w:szCs w:val="24"/>
        </w:rPr>
      </w:pPr>
      <w:r w:rsidRPr="00384E05">
        <w:rPr>
          <w:rFonts w:cs="Times New Roman"/>
          <w:sz w:val="24"/>
          <w:szCs w:val="24"/>
        </w:rPr>
        <w:t>Para la demostración del ciclo MDD se propone delimitar el trabajo al subsistema de gestión del perfil de mascota y validación de información médica. La elección es coherente con el alcance de MundiPets, plataforma orientada a centralizar perfiles de mascotas y apoyar procesos de adopción y cruza responsable. La documentación previa del PFC identifica como problemas del proceso actual la publicación de información incompleta y la falta de datos médicos verificables, por lo que este subsistema concentra información estructural, relaciones entre entidades y operaciones que resultan adecuadas para una demostración de generación de código [7]</w:t>
      </w:r>
      <w:proofErr w:type="gramStart"/>
      <w:r w:rsidRPr="00384E05">
        <w:rPr>
          <w:rFonts w:cs="Times New Roman"/>
          <w:sz w:val="24"/>
          <w:szCs w:val="24"/>
        </w:rPr>
        <w:t>–[</w:t>
      </w:r>
      <w:proofErr w:type="gramEnd"/>
      <w:r w:rsidRPr="00384E05">
        <w:rPr>
          <w:rFonts w:cs="Times New Roman"/>
          <w:sz w:val="24"/>
          <w:szCs w:val="24"/>
        </w:rPr>
        <w:t>9].</w:t>
      </w:r>
    </w:p>
    <w:p w14:paraId="67EB52F9" w14:textId="77777777" w:rsidR="00887D1B" w:rsidRPr="00384E05" w:rsidRDefault="00000000">
      <w:pPr>
        <w:rPr>
          <w:rFonts w:cs="Times New Roman"/>
          <w:sz w:val="24"/>
          <w:szCs w:val="24"/>
        </w:rPr>
      </w:pPr>
      <w:r w:rsidRPr="00384E05">
        <w:rPr>
          <w:rFonts w:cs="Times New Roman"/>
          <w:sz w:val="24"/>
          <w:szCs w:val="24"/>
        </w:rPr>
        <w:t>El subsistema es representativo porque combina operaciones de registro, actualización, consulta y validación; además, contiene asociaciones uno-a-uno y uno-a-muchos que permiten observar cómo Visual Paradigm traslada estructuras UML a construcciones del lenguaje objetivo. No se pretende modelar toda la red social, sino aislar una unidad coherente que pueda ser generada, compilada y modificada durante la demostración.</w:t>
      </w:r>
    </w:p>
    <w:p w14:paraId="49DB1916"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lastRenderedPageBreak/>
        <w:t>4.2 Actores involucrados</w:t>
      </w:r>
    </w:p>
    <w:tbl>
      <w:tblPr>
        <w:tblStyle w:val="Tablaconcuadrcula"/>
        <w:tblW w:w="0" w:type="auto"/>
        <w:jc w:val="center"/>
        <w:tblLook w:val="04A0" w:firstRow="1" w:lastRow="0" w:firstColumn="1" w:lastColumn="0" w:noHBand="0" w:noVBand="1"/>
      </w:tblPr>
      <w:tblGrid>
        <w:gridCol w:w="3131"/>
        <w:gridCol w:w="3132"/>
        <w:gridCol w:w="3133"/>
      </w:tblGrid>
      <w:tr w:rsidR="00887D1B" w:rsidRPr="00384E05" w14:paraId="0A5D66ED" w14:textId="77777777">
        <w:trPr>
          <w:jc w:val="center"/>
        </w:trPr>
        <w:tc>
          <w:tcPr>
            <w:tcW w:w="3135" w:type="dxa"/>
            <w:shd w:val="clear" w:color="auto" w:fill="D9EAF7"/>
            <w:tcMar>
              <w:top w:w="80" w:type="dxa"/>
              <w:left w:w="80" w:type="dxa"/>
              <w:bottom w:w="80" w:type="dxa"/>
              <w:right w:w="80" w:type="dxa"/>
            </w:tcMar>
            <w:vAlign w:val="center"/>
          </w:tcPr>
          <w:p w14:paraId="755E39C7" w14:textId="77777777" w:rsidR="00887D1B" w:rsidRPr="00384E05" w:rsidRDefault="00000000">
            <w:pPr>
              <w:spacing w:after="0"/>
              <w:jc w:val="left"/>
              <w:rPr>
                <w:rFonts w:cs="Times New Roman"/>
                <w:sz w:val="24"/>
                <w:szCs w:val="24"/>
              </w:rPr>
            </w:pPr>
            <w:r w:rsidRPr="00384E05">
              <w:rPr>
                <w:rFonts w:cs="Times New Roman"/>
                <w:b/>
                <w:sz w:val="24"/>
                <w:szCs w:val="24"/>
              </w:rPr>
              <w:t>Actor</w:t>
            </w:r>
          </w:p>
        </w:tc>
        <w:tc>
          <w:tcPr>
            <w:tcW w:w="3135" w:type="dxa"/>
            <w:shd w:val="clear" w:color="auto" w:fill="D9EAF7"/>
            <w:tcMar>
              <w:top w:w="80" w:type="dxa"/>
              <w:left w:w="80" w:type="dxa"/>
              <w:bottom w:w="80" w:type="dxa"/>
              <w:right w:w="80" w:type="dxa"/>
            </w:tcMar>
            <w:vAlign w:val="center"/>
          </w:tcPr>
          <w:p w14:paraId="3ADB90DD" w14:textId="77777777" w:rsidR="00887D1B" w:rsidRPr="00384E05" w:rsidRDefault="00000000">
            <w:pPr>
              <w:spacing w:after="0"/>
              <w:jc w:val="left"/>
              <w:rPr>
                <w:rFonts w:cs="Times New Roman"/>
                <w:sz w:val="24"/>
                <w:szCs w:val="24"/>
              </w:rPr>
            </w:pPr>
            <w:r w:rsidRPr="00384E05">
              <w:rPr>
                <w:rFonts w:cs="Times New Roman"/>
                <w:b/>
                <w:sz w:val="24"/>
                <w:szCs w:val="24"/>
              </w:rPr>
              <w:t>Participación en el subsistema</w:t>
            </w:r>
          </w:p>
        </w:tc>
        <w:tc>
          <w:tcPr>
            <w:tcW w:w="3135" w:type="dxa"/>
            <w:shd w:val="clear" w:color="auto" w:fill="D9EAF7"/>
            <w:tcMar>
              <w:top w:w="80" w:type="dxa"/>
              <w:left w:w="80" w:type="dxa"/>
              <w:bottom w:w="80" w:type="dxa"/>
              <w:right w:w="80" w:type="dxa"/>
            </w:tcMar>
            <w:vAlign w:val="center"/>
          </w:tcPr>
          <w:p w14:paraId="145134A5" w14:textId="77777777" w:rsidR="00887D1B" w:rsidRPr="00384E05" w:rsidRDefault="00000000">
            <w:pPr>
              <w:spacing w:after="0"/>
              <w:jc w:val="left"/>
              <w:rPr>
                <w:rFonts w:cs="Times New Roman"/>
                <w:sz w:val="24"/>
                <w:szCs w:val="24"/>
              </w:rPr>
            </w:pPr>
            <w:r w:rsidRPr="00384E05">
              <w:rPr>
                <w:rFonts w:cs="Times New Roman"/>
                <w:b/>
                <w:sz w:val="24"/>
                <w:szCs w:val="24"/>
              </w:rPr>
              <w:t>Responsabilidad principal</w:t>
            </w:r>
          </w:p>
        </w:tc>
      </w:tr>
      <w:tr w:rsidR="00887D1B" w:rsidRPr="00384E05" w14:paraId="7B7746F4" w14:textId="77777777">
        <w:trPr>
          <w:jc w:val="center"/>
        </w:trPr>
        <w:tc>
          <w:tcPr>
            <w:tcW w:w="3135" w:type="dxa"/>
            <w:tcMar>
              <w:top w:w="80" w:type="dxa"/>
              <w:left w:w="80" w:type="dxa"/>
              <w:bottom w:w="80" w:type="dxa"/>
              <w:right w:w="80" w:type="dxa"/>
            </w:tcMar>
            <w:vAlign w:val="center"/>
          </w:tcPr>
          <w:p w14:paraId="3C42426D" w14:textId="77777777" w:rsidR="00887D1B" w:rsidRPr="00384E05" w:rsidRDefault="00000000">
            <w:pPr>
              <w:spacing w:after="0"/>
              <w:jc w:val="left"/>
              <w:rPr>
                <w:rFonts w:cs="Times New Roman"/>
                <w:sz w:val="24"/>
                <w:szCs w:val="24"/>
              </w:rPr>
            </w:pPr>
            <w:r w:rsidRPr="00384E05">
              <w:rPr>
                <w:rFonts w:cs="Times New Roman"/>
                <w:b/>
                <w:sz w:val="24"/>
                <w:szCs w:val="24"/>
              </w:rPr>
              <w:t>Propietario de mascota</w:t>
            </w:r>
          </w:p>
        </w:tc>
        <w:tc>
          <w:tcPr>
            <w:tcW w:w="3135" w:type="dxa"/>
            <w:tcMar>
              <w:top w:w="80" w:type="dxa"/>
              <w:left w:w="80" w:type="dxa"/>
              <w:bottom w:w="80" w:type="dxa"/>
              <w:right w:w="80" w:type="dxa"/>
            </w:tcMar>
            <w:vAlign w:val="center"/>
          </w:tcPr>
          <w:p w14:paraId="54FB2F81" w14:textId="77777777" w:rsidR="00887D1B" w:rsidRPr="00384E05" w:rsidRDefault="00000000">
            <w:pPr>
              <w:spacing w:after="0"/>
              <w:jc w:val="left"/>
              <w:rPr>
                <w:rFonts w:cs="Times New Roman"/>
                <w:sz w:val="24"/>
                <w:szCs w:val="24"/>
              </w:rPr>
            </w:pPr>
            <w:r w:rsidRPr="00384E05">
              <w:rPr>
                <w:rFonts w:cs="Times New Roman"/>
                <w:sz w:val="24"/>
                <w:szCs w:val="24"/>
              </w:rPr>
              <w:t>Actor principal de gestión</w:t>
            </w:r>
          </w:p>
        </w:tc>
        <w:tc>
          <w:tcPr>
            <w:tcW w:w="3135" w:type="dxa"/>
            <w:tcMar>
              <w:top w:w="80" w:type="dxa"/>
              <w:left w:w="80" w:type="dxa"/>
              <w:bottom w:w="80" w:type="dxa"/>
              <w:right w:w="80" w:type="dxa"/>
            </w:tcMar>
            <w:vAlign w:val="center"/>
          </w:tcPr>
          <w:p w14:paraId="435A54E2" w14:textId="77777777" w:rsidR="00887D1B" w:rsidRPr="00384E05" w:rsidRDefault="00000000">
            <w:pPr>
              <w:spacing w:after="0"/>
              <w:jc w:val="left"/>
              <w:rPr>
                <w:rFonts w:cs="Times New Roman"/>
                <w:sz w:val="24"/>
                <w:szCs w:val="24"/>
              </w:rPr>
            </w:pPr>
            <w:r w:rsidRPr="00384E05">
              <w:rPr>
                <w:rFonts w:cs="Times New Roman"/>
                <w:sz w:val="24"/>
                <w:szCs w:val="24"/>
              </w:rPr>
              <w:t>Registra la mascota, mantiene sus datos e incorpora antecedentes o documentos permitidos.</w:t>
            </w:r>
          </w:p>
        </w:tc>
      </w:tr>
      <w:tr w:rsidR="00887D1B" w:rsidRPr="00384E05" w14:paraId="310C4A96" w14:textId="77777777">
        <w:trPr>
          <w:jc w:val="center"/>
        </w:trPr>
        <w:tc>
          <w:tcPr>
            <w:tcW w:w="3135" w:type="dxa"/>
            <w:tcMar>
              <w:top w:w="80" w:type="dxa"/>
              <w:left w:w="80" w:type="dxa"/>
              <w:bottom w:w="80" w:type="dxa"/>
              <w:right w:w="80" w:type="dxa"/>
            </w:tcMar>
            <w:vAlign w:val="center"/>
          </w:tcPr>
          <w:p w14:paraId="29E9EB37" w14:textId="77777777" w:rsidR="00887D1B" w:rsidRPr="00384E05" w:rsidRDefault="00000000">
            <w:pPr>
              <w:spacing w:after="0"/>
              <w:jc w:val="left"/>
              <w:rPr>
                <w:rFonts w:cs="Times New Roman"/>
                <w:sz w:val="24"/>
                <w:szCs w:val="24"/>
              </w:rPr>
            </w:pPr>
            <w:r w:rsidRPr="00384E05">
              <w:rPr>
                <w:rFonts w:cs="Times New Roman"/>
                <w:b/>
                <w:sz w:val="24"/>
                <w:szCs w:val="24"/>
              </w:rPr>
              <w:t>Refugio</w:t>
            </w:r>
          </w:p>
        </w:tc>
        <w:tc>
          <w:tcPr>
            <w:tcW w:w="3135" w:type="dxa"/>
            <w:tcMar>
              <w:top w:w="80" w:type="dxa"/>
              <w:left w:w="80" w:type="dxa"/>
              <w:bottom w:w="80" w:type="dxa"/>
              <w:right w:w="80" w:type="dxa"/>
            </w:tcMar>
            <w:vAlign w:val="center"/>
          </w:tcPr>
          <w:p w14:paraId="0DF1581A" w14:textId="77777777" w:rsidR="00887D1B" w:rsidRPr="00384E05" w:rsidRDefault="00000000">
            <w:pPr>
              <w:spacing w:after="0"/>
              <w:jc w:val="left"/>
              <w:rPr>
                <w:rFonts w:cs="Times New Roman"/>
                <w:sz w:val="24"/>
                <w:szCs w:val="24"/>
              </w:rPr>
            </w:pPr>
            <w:r w:rsidRPr="00384E05">
              <w:rPr>
                <w:rFonts w:cs="Times New Roman"/>
                <w:sz w:val="24"/>
                <w:szCs w:val="24"/>
              </w:rPr>
              <w:t>Gestor alternativo del perfil</w:t>
            </w:r>
          </w:p>
        </w:tc>
        <w:tc>
          <w:tcPr>
            <w:tcW w:w="3135" w:type="dxa"/>
            <w:tcMar>
              <w:top w:w="80" w:type="dxa"/>
              <w:left w:w="80" w:type="dxa"/>
              <w:bottom w:w="80" w:type="dxa"/>
              <w:right w:w="80" w:type="dxa"/>
            </w:tcMar>
            <w:vAlign w:val="center"/>
          </w:tcPr>
          <w:p w14:paraId="7ECD9CFB" w14:textId="77777777" w:rsidR="00887D1B" w:rsidRPr="00384E05" w:rsidRDefault="00000000">
            <w:pPr>
              <w:spacing w:after="0"/>
              <w:jc w:val="left"/>
              <w:rPr>
                <w:rFonts w:cs="Times New Roman"/>
                <w:sz w:val="24"/>
                <w:szCs w:val="24"/>
              </w:rPr>
            </w:pPr>
            <w:r w:rsidRPr="00384E05">
              <w:rPr>
                <w:rFonts w:cs="Times New Roman"/>
                <w:sz w:val="24"/>
                <w:szCs w:val="24"/>
              </w:rPr>
              <w:t>Puede registrar y mantener perfiles de mascotas bajo su cuidado cuando corresponda al proceso de adopción.</w:t>
            </w:r>
          </w:p>
        </w:tc>
      </w:tr>
      <w:tr w:rsidR="00887D1B" w:rsidRPr="00384E05" w14:paraId="301CD3B4" w14:textId="77777777">
        <w:trPr>
          <w:jc w:val="center"/>
        </w:trPr>
        <w:tc>
          <w:tcPr>
            <w:tcW w:w="3135" w:type="dxa"/>
            <w:tcMar>
              <w:top w:w="80" w:type="dxa"/>
              <w:left w:w="80" w:type="dxa"/>
              <w:bottom w:w="80" w:type="dxa"/>
              <w:right w:w="80" w:type="dxa"/>
            </w:tcMar>
            <w:vAlign w:val="center"/>
          </w:tcPr>
          <w:p w14:paraId="3F962AA5" w14:textId="77777777" w:rsidR="00887D1B" w:rsidRPr="00384E05" w:rsidRDefault="00000000">
            <w:pPr>
              <w:spacing w:after="0"/>
              <w:jc w:val="left"/>
              <w:rPr>
                <w:rFonts w:cs="Times New Roman"/>
                <w:sz w:val="24"/>
                <w:szCs w:val="24"/>
              </w:rPr>
            </w:pPr>
            <w:r w:rsidRPr="00384E05">
              <w:rPr>
                <w:rFonts w:cs="Times New Roman"/>
                <w:b/>
                <w:sz w:val="24"/>
                <w:szCs w:val="24"/>
              </w:rPr>
              <w:t>Veterinaria / profesional autorizado</w:t>
            </w:r>
          </w:p>
        </w:tc>
        <w:tc>
          <w:tcPr>
            <w:tcW w:w="3135" w:type="dxa"/>
            <w:tcMar>
              <w:top w:w="80" w:type="dxa"/>
              <w:left w:w="80" w:type="dxa"/>
              <w:bottom w:w="80" w:type="dxa"/>
              <w:right w:w="80" w:type="dxa"/>
            </w:tcMar>
            <w:vAlign w:val="center"/>
          </w:tcPr>
          <w:p w14:paraId="7EEEC0B9" w14:textId="77777777" w:rsidR="00887D1B" w:rsidRPr="00384E05" w:rsidRDefault="00000000">
            <w:pPr>
              <w:spacing w:after="0"/>
              <w:jc w:val="left"/>
              <w:rPr>
                <w:rFonts w:cs="Times New Roman"/>
                <w:sz w:val="24"/>
                <w:szCs w:val="24"/>
              </w:rPr>
            </w:pPr>
            <w:r w:rsidRPr="00384E05">
              <w:rPr>
                <w:rFonts w:cs="Times New Roman"/>
                <w:sz w:val="24"/>
                <w:szCs w:val="24"/>
              </w:rPr>
              <w:t>Actor de validación</w:t>
            </w:r>
          </w:p>
        </w:tc>
        <w:tc>
          <w:tcPr>
            <w:tcW w:w="3135" w:type="dxa"/>
            <w:tcMar>
              <w:top w:w="80" w:type="dxa"/>
              <w:left w:w="80" w:type="dxa"/>
              <w:bottom w:w="80" w:type="dxa"/>
              <w:right w:w="80" w:type="dxa"/>
            </w:tcMar>
            <w:vAlign w:val="center"/>
          </w:tcPr>
          <w:p w14:paraId="28646FAC" w14:textId="77777777" w:rsidR="00887D1B" w:rsidRPr="00384E05" w:rsidRDefault="00000000">
            <w:pPr>
              <w:spacing w:after="0"/>
              <w:jc w:val="left"/>
              <w:rPr>
                <w:rFonts w:cs="Times New Roman"/>
                <w:sz w:val="24"/>
                <w:szCs w:val="24"/>
              </w:rPr>
            </w:pPr>
            <w:r w:rsidRPr="00384E05">
              <w:rPr>
                <w:rFonts w:cs="Times New Roman"/>
                <w:sz w:val="24"/>
                <w:szCs w:val="24"/>
              </w:rPr>
              <w:t>Revisa información y documentación sanitaria y registra el estado de validación.</w:t>
            </w:r>
          </w:p>
        </w:tc>
      </w:tr>
      <w:tr w:rsidR="00887D1B" w:rsidRPr="00384E05" w14:paraId="7C9A54BD" w14:textId="77777777">
        <w:trPr>
          <w:jc w:val="center"/>
        </w:trPr>
        <w:tc>
          <w:tcPr>
            <w:tcW w:w="3135" w:type="dxa"/>
            <w:tcMar>
              <w:top w:w="80" w:type="dxa"/>
              <w:left w:w="80" w:type="dxa"/>
              <w:bottom w:w="80" w:type="dxa"/>
              <w:right w:w="80" w:type="dxa"/>
            </w:tcMar>
            <w:vAlign w:val="center"/>
          </w:tcPr>
          <w:p w14:paraId="5CF27F66" w14:textId="77777777" w:rsidR="00887D1B" w:rsidRPr="00384E05" w:rsidRDefault="00000000">
            <w:pPr>
              <w:spacing w:after="0"/>
              <w:jc w:val="left"/>
              <w:rPr>
                <w:rFonts w:cs="Times New Roman"/>
                <w:sz w:val="24"/>
                <w:szCs w:val="24"/>
              </w:rPr>
            </w:pPr>
            <w:r w:rsidRPr="00384E05">
              <w:rPr>
                <w:rFonts w:cs="Times New Roman"/>
                <w:b/>
                <w:sz w:val="24"/>
                <w:szCs w:val="24"/>
              </w:rPr>
              <w:t>Adoptante o interesado en cruza</w:t>
            </w:r>
          </w:p>
        </w:tc>
        <w:tc>
          <w:tcPr>
            <w:tcW w:w="3135" w:type="dxa"/>
            <w:tcMar>
              <w:top w:w="80" w:type="dxa"/>
              <w:left w:w="80" w:type="dxa"/>
              <w:bottom w:w="80" w:type="dxa"/>
              <w:right w:w="80" w:type="dxa"/>
            </w:tcMar>
            <w:vAlign w:val="center"/>
          </w:tcPr>
          <w:p w14:paraId="5E0E522E" w14:textId="77777777" w:rsidR="00887D1B" w:rsidRPr="00384E05" w:rsidRDefault="00000000">
            <w:pPr>
              <w:spacing w:after="0"/>
              <w:jc w:val="left"/>
              <w:rPr>
                <w:rFonts w:cs="Times New Roman"/>
                <w:sz w:val="24"/>
                <w:szCs w:val="24"/>
              </w:rPr>
            </w:pPr>
            <w:r w:rsidRPr="00384E05">
              <w:rPr>
                <w:rFonts w:cs="Times New Roman"/>
                <w:sz w:val="24"/>
                <w:szCs w:val="24"/>
              </w:rPr>
              <w:t>Actor de consulta</w:t>
            </w:r>
          </w:p>
        </w:tc>
        <w:tc>
          <w:tcPr>
            <w:tcW w:w="3135" w:type="dxa"/>
            <w:tcMar>
              <w:top w:w="80" w:type="dxa"/>
              <w:left w:w="80" w:type="dxa"/>
              <w:bottom w:w="80" w:type="dxa"/>
              <w:right w:w="80" w:type="dxa"/>
            </w:tcMar>
            <w:vAlign w:val="center"/>
          </w:tcPr>
          <w:p w14:paraId="66739EA7" w14:textId="77777777" w:rsidR="00887D1B" w:rsidRPr="00384E05" w:rsidRDefault="00000000">
            <w:pPr>
              <w:spacing w:after="0"/>
              <w:jc w:val="left"/>
              <w:rPr>
                <w:rFonts w:cs="Times New Roman"/>
                <w:sz w:val="24"/>
                <w:szCs w:val="24"/>
              </w:rPr>
            </w:pPr>
            <w:r w:rsidRPr="00384E05">
              <w:rPr>
                <w:rFonts w:cs="Times New Roman"/>
                <w:sz w:val="24"/>
                <w:szCs w:val="24"/>
              </w:rPr>
              <w:t>Consulta la información autorizada del perfil antes de tomar decisiones dentro de un proceso.</w:t>
            </w:r>
          </w:p>
        </w:tc>
      </w:tr>
    </w:tbl>
    <w:p w14:paraId="47B1E254"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4.3 Requisitos funcionales relevantes</w:t>
      </w:r>
    </w:p>
    <w:p w14:paraId="0E447A2C" w14:textId="77777777" w:rsidR="00887D1B" w:rsidRPr="00384E05" w:rsidRDefault="00000000">
      <w:pPr>
        <w:rPr>
          <w:rFonts w:cs="Times New Roman"/>
          <w:sz w:val="24"/>
          <w:szCs w:val="24"/>
        </w:rPr>
      </w:pPr>
      <w:r w:rsidRPr="00384E05">
        <w:rPr>
          <w:rFonts w:cs="Times New Roman"/>
          <w:sz w:val="24"/>
          <w:szCs w:val="24"/>
        </w:rPr>
        <w:t>La delimitación se apoya en los requisitos ya documentados y refinados en el ERS/SRS y en la práctica de modelado. Para evitar ampliar innecesariamente el alcance, se consideran como núcleo los siguientes requisitos:</w:t>
      </w:r>
    </w:p>
    <w:tbl>
      <w:tblPr>
        <w:tblStyle w:val="Tablaconcuadrcula"/>
        <w:tblW w:w="0" w:type="auto"/>
        <w:jc w:val="center"/>
        <w:tblLook w:val="04A0" w:firstRow="1" w:lastRow="0" w:firstColumn="1" w:lastColumn="0" w:noHBand="0" w:noVBand="1"/>
      </w:tblPr>
      <w:tblGrid>
        <w:gridCol w:w="3132"/>
        <w:gridCol w:w="3132"/>
        <w:gridCol w:w="3132"/>
      </w:tblGrid>
      <w:tr w:rsidR="00887D1B" w:rsidRPr="00384E05" w14:paraId="43210829" w14:textId="77777777">
        <w:trPr>
          <w:jc w:val="center"/>
        </w:trPr>
        <w:tc>
          <w:tcPr>
            <w:tcW w:w="3135" w:type="dxa"/>
            <w:shd w:val="clear" w:color="auto" w:fill="D9EAF7"/>
            <w:tcMar>
              <w:top w:w="80" w:type="dxa"/>
              <w:left w:w="80" w:type="dxa"/>
              <w:bottom w:w="80" w:type="dxa"/>
              <w:right w:w="80" w:type="dxa"/>
            </w:tcMar>
            <w:vAlign w:val="center"/>
          </w:tcPr>
          <w:p w14:paraId="740FB2A9" w14:textId="77777777" w:rsidR="00887D1B" w:rsidRPr="00384E05" w:rsidRDefault="00000000">
            <w:pPr>
              <w:spacing w:after="0"/>
              <w:jc w:val="left"/>
              <w:rPr>
                <w:rFonts w:cs="Times New Roman"/>
                <w:sz w:val="24"/>
                <w:szCs w:val="24"/>
              </w:rPr>
            </w:pPr>
            <w:r w:rsidRPr="00384E05">
              <w:rPr>
                <w:rFonts w:cs="Times New Roman"/>
                <w:b/>
                <w:sz w:val="24"/>
                <w:szCs w:val="24"/>
              </w:rPr>
              <w:t>ID</w:t>
            </w:r>
          </w:p>
        </w:tc>
        <w:tc>
          <w:tcPr>
            <w:tcW w:w="3135" w:type="dxa"/>
            <w:shd w:val="clear" w:color="auto" w:fill="D9EAF7"/>
            <w:tcMar>
              <w:top w:w="80" w:type="dxa"/>
              <w:left w:w="80" w:type="dxa"/>
              <w:bottom w:w="80" w:type="dxa"/>
              <w:right w:w="80" w:type="dxa"/>
            </w:tcMar>
            <w:vAlign w:val="center"/>
          </w:tcPr>
          <w:p w14:paraId="194604F1" w14:textId="77777777" w:rsidR="00887D1B" w:rsidRPr="00384E05" w:rsidRDefault="00000000">
            <w:pPr>
              <w:spacing w:after="0"/>
              <w:jc w:val="left"/>
              <w:rPr>
                <w:rFonts w:cs="Times New Roman"/>
                <w:sz w:val="24"/>
                <w:szCs w:val="24"/>
              </w:rPr>
            </w:pPr>
            <w:r w:rsidRPr="00384E05">
              <w:rPr>
                <w:rFonts w:cs="Times New Roman"/>
                <w:b/>
                <w:sz w:val="24"/>
                <w:szCs w:val="24"/>
              </w:rPr>
              <w:t>Requisito</w:t>
            </w:r>
          </w:p>
        </w:tc>
        <w:tc>
          <w:tcPr>
            <w:tcW w:w="3135" w:type="dxa"/>
            <w:shd w:val="clear" w:color="auto" w:fill="D9EAF7"/>
            <w:tcMar>
              <w:top w:w="80" w:type="dxa"/>
              <w:left w:w="80" w:type="dxa"/>
              <w:bottom w:w="80" w:type="dxa"/>
              <w:right w:w="80" w:type="dxa"/>
            </w:tcMar>
            <w:vAlign w:val="center"/>
          </w:tcPr>
          <w:p w14:paraId="2E385BA8" w14:textId="77777777" w:rsidR="00887D1B" w:rsidRPr="00384E05" w:rsidRDefault="00000000">
            <w:pPr>
              <w:spacing w:after="0"/>
              <w:jc w:val="left"/>
              <w:rPr>
                <w:rFonts w:cs="Times New Roman"/>
                <w:sz w:val="24"/>
                <w:szCs w:val="24"/>
              </w:rPr>
            </w:pPr>
            <w:r w:rsidRPr="00384E05">
              <w:rPr>
                <w:rFonts w:cs="Times New Roman"/>
                <w:b/>
                <w:sz w:val="24"/>
                <w:szCs w:val="24"/>
              </w:rPr>
              <w:t>Relación con el subsistema</w:t>
            </w:r>
          </w:p>
        </w:tc>
      </w:tr>
      <w:tr w:rsidR="00887D1B" w:rsidRPr="00384E05" w14:paraId="1489EE3C" w14:textId="77777777">
        <w:trPr>
          <w:jc w:val="center"/>
        </w:trPr>
        <w:tc>
          <w:tcPr>
            <w:tcW w:w="3135" w:type="dxa"/>
            <w:tcMar>
              <w:top w:w="80" w:type="dxa"/>
              <w:left w:w="80" w:type="dxa"/>
              <w:bottom w:w="80" w:type="dxa"/>
              <w:right w:w="80" w:type="dxa"/>
            </w:tcMar>
            <w:vAlign w:val="center"/>
          </w:tcPr>
          <w:p w14:paraId="6542D559" w14:textId="77777777" w:rsidR="00887D1B" w:rsidRPr="00384E05" w:rsidRDefault="00000000">
            <w:pPr>
              <w:spacing w:after="0"/>
              <w:jc w:val="left"/>
              <w:rPr>
                <w:rFonts w:cs="Times New Roman"/>
                <w:sz w:val="24"/>
                <w:szCs w:val="24"/>
              </w:rPr>
            </w:pPr>
            <w:r w:rsidRPr="00384E05">
              <w:rPr>
                <w:rFonts w:cs="Times New Roman"/>
                <w:b/>
                <w:sz w:val="24"/>
                <w:szCs w:val="24"/>
              </w:rPr>
              <w:t>RF-01</w:t>
            </w:r>
          </w:p>
        </w:tc>
        <w:tc>
          <w:tcPr>
            <w:tcW w:w="3135" w:type="dxa"/>
            <w:tcMar>
              <w:top w:w="80" w:type="dxa"/>
              <w:left w:w="80" w:type="dxa"/>
              <w:bottom w:w="80" w:type="dxa"/>
              <w:right w:w="80" w:type="dxa"/>
            </w:tcMar>
            <w:vAlign w:val="center"/>
          </w:tcPr>
          <w:p w14:paraId="4FFFA9F9" w14:textId="77777777" w:rsidR="00887D1B" w:rsidRPr="00384E05" w:rsidRDefault="00000000">
            <w:pPr>
              <w:spacing w:after="0"/>
              <w:jc w:val="left"/>
              <w:rPr>
                <w:rFonts w:cs="Times New Roman"/>
                <w:sz w:val="24"/>
                <w:szCs w:val="24"/>
              </w:rPr>
            </w:pPr>
            <w:r w:rsidRPr="00384E05">
              <w:rPr>
                <w:rFonts w:cs="Times New Roman"/>
                <w:sz w:val="24"/>
                <w:szCs w:val="24"/>
              </w:rPr>
              <w:t>Registrar mascota</w:t>
            </w:r>
          </w:p>
        </w:tc>
        <w:tc>
          <w:tcPr>
            <w:tcW w:w="3135" w:type="dxa"/>
            <w:tcMar>
              <w:top w:w="80" w:type="dxa"/>
              <w:left w:w="80" w:type="dxa"/>
              <w:bottom w:w="80" w:type="dxa"/>
              <w:right w:w="80" w:type="dxa"/>
            </w:tcMar>
            <w:vAlign w:val="center"/>
          </w:tcPr>
          <w:p w14:paraId="1E288BDA" w14:textId="77777777" w:rsidR="00887D1B" w:rsidRPr="00384E05" w:rsidRDefault="00000000">
            <w:pPr>
              <w:spacing w:after="0"/>
              <w:jc w:val="left"/>
              <w:rPr>
                <w:rFonts w:cs="Times New Roman"/>
                <w:sz w:val="24"/>
                <w:szCs w:val="24"/>
              </w:rPr>
            </w:pPr>
            <w:r w:rsidRPr="00384E05">
              <w:rPr>
                <w:rFonts w:cs="Times New Roman"/>
                <w:sz w:val="24"/>
                <w:szCs w:val="24"/>
              </w:rPr>
              <w:t>Crea la entidad principal y sus datos generales.</w:t>
            </w:r>
          </w:p>
        </w:tc>
      </w:tr>
      <w:tr w:rsidR="00887D1B" w:rsidRPr="00384E05" w14:paraId="416C68AB" w14:textId="77777777">
        <w:trPr>
          <w:jc w:val="center"/>
        </w:trPr>
        <w:tc>
          <w:tcPr>
            <w:tcW w:w="3135" w:type="dxa"/>
            <w:tcMar>
              <w:top w:w="80" w:type="dxa"/>
              <w:left w:w="80" w:type="dxa"/>
              <w:bottom w:w="80" w:type="dxa"/>
              <w:right w:w="80" w:type="dxa"/>
            </w:tcMar>
            <w:vAlign w:val="center"/>
          </w:tcPr>
          <w:p w14:paraId="0A852494" w14:textId="77777777" w:rsidR="00887D1B" w:rsidRPr="00384E05" w:rsidRDefault="00000000">
            <w:pPr>
              <w:spacing w:after="0"/>
              <w:jc w:val="left"/>
              <w:rPr>
                <w:rFonts w:cs="Times New Roman"/>
                <w:sz w:val="24"/>
                <w:szCs w:val="24"/>
              </w:rPr>
            </w:pPr>
            <w:r w:rsidRPr="00384E05">
              <w:rPr>
                <w:rFonts w:cs="Times New Roman"/>
                <w:b/>
                <w:sz w:val="24"/>
                <w:szCs w:val="24"/>
              </w:rPr>
              <w:t>RF-02a / RF-02b</w:t>
            </w:r>
          </w:p>
        </w:tc>
        <w:tc>
          <w:tcPr>
            <w:tcW w:w="3135" w:type="dxa"/>
            <w:tcMar>
              <w:top w:w="80" w:type="dxa"/>
              <w:left w:w="80" w:type="dxa"/>
              <w:bottom w:w="80" w:type="dxa"/>
              <w:right w:w="80" w:type="dxa"/>
            </w:tcMar>
            <w:vAlign w:val="center"/>
          </w:tcPr>
          <w:p w14:paraId="30D8FEC2" w14:textId="77777777" w:rsidR="00887D1B" w:rsidRPr="00384E05" w:rsidRDefault="00000000">
            <w:pPr>
              <w:spacing w:after="0"/>
              <w:jc w:val="left"/>
              <w:rPr>
                <w:rFonts w:cs="Times New Roman"/>
                <w:sz w:val="24"/>
                <w:szCs w:val="24"/>
              </w:rPr>
            </w:pPr>
            <w:r w:rsidRPr="00384E05">
              <w:rPr>
                <w:rFonts w:cs="Times New Roman"/>
                <w:sz w:val="24"/>
                <w:szCs w:val="24"/>
              </w:rPr>
              <w:t>Registrar y actualizar historial médico</w:t>
            </w:r>
          </w:p>
        </w:tc>
        <w:tc>
          <w:tcPr>
            <w:tcW w:w="3135" w:type="dxa"/>
            <w:tcMar>
              <w:top w:w="80" w:type="dxa"/>
              <w:left w:w="80" w:type="dxa"/>
              <w:bottom w:w="80" w:type="dxa"/>
              <w:right w:w="80" w:type="dxa"/>
            </w:tcMar>
            <w:vAlign w:val="center"/>
          </w:tcPr>
          <w:p w14:paraId="0FB22CC6" w14:textId="77777777" w:rsidR="00887D1B" w:rsidRPr="00384E05" w:rsidRDefault="00000000">
            <w:pPr>
              <w:spacing w:after="0"/>
              <w:jc w:val="left"/>
              <w:rPr>
                <w:rFonts w:cs="Times New Roman"/>
                <w:sz w:val="24"/>
                <w:szCs w:val="24"/>
              </w:rPr>
            </w:pPr>
            <w:r w:rsidRPr="00384E05">
              <w:rPr>
                <w:rFonts w:cs="Times New Roman"/>
                <w:sz w:val="24"/>
                <w:szCs w:val="24"/>
              </w:rPr>
              <w:t>Mantiene antecedentes clínicos vinculados con la mascota.</w:t>
            </w:r>
          </w:p>
        </w:tc>
      </w:tr>
      <w:tr w:rsidR="00887D1B" w:rsidRPr="00384E05" w14:paraId="18CC6EA9" w14:textId="77777777">
        <w:trPr>
          <w:jc w:val="center"/>
        </w:trPr>
        <w:tc>
          <w:tcPr>
            <w:tcW w:w="3135" w:type="dxa"/>
            <w:tcMar>
              <w:top w:w="80" w:type="dxa"/>
              <w:left w:w="80" w:type="dxa"/>
              <w:bottom w:w="80" w:type="dxa"/>
              <w:right w:w="80" w:type="dxa"/>
            </w:tcMar>
            <w:vAlign w:val="center"/>
          </w:tcPr>
          <w:p w14:paraId="76F83F8F" w14:textId="77777777" w:rsidR="00887D1B" w:rsidRPr="00384E05" w:rsidRDefault="00000000">
            <w:pPr>
              <w:spacing w:after="0"/>
              <w:jc w:val="left"/>
              <w:rPr>
                <w:rFonts w:cs="Times New Roman"/>
                <w:sz w:val="24"/>
                <w:szCs w:val="24"/>
              </w:rPr>
            </w:pPr>
            <w:r w:rsidRPr="00384E05">
              <w:rPr>
                <w:rFonts w:cs="Times New Roman"/>
                <w:b/>
                <w:sz w:val="24"/>
                <w:szCs w:val="24"/>
              </w:rPr>
              <w:t>RF-03</w:t>
            </w:r>
          </w:p>
        </w:tc>
        <w:tc>
          <w:tcPr>
            <w:tcW w:w="3135" w:type="dxa"/>
            <w:tcMar>
              <w:top w:w="80" w:type="dxa"/>
              <w:left w:w="80" w:type="dxa"/>
              <w:bottom w:w="80" w:type="dxa"/>
              <w:right w:w="80" w:type="dxa"/>
            </w:tcMar>
            <w:vAlign w:val="center"/>
          </w:tcPr>
          <w:p w14:paraId="2CAB502E" w14:textId="77777777" w:rsidR="00887D1B" w:rsidRPr="00384E05" w:rsidRDefault="00000000">
            <w:pPr>
              <w:spacing w:after="0"/>
              <w:jc w:val="left"/>
              <w:rPr>
                <w:rFonts w:cs="Times New Roman"/>
                <w:sz w:val="24"/>
                <w:szCs w:val="24"/>
              </w:rPr>
            </w:pPr>
            <w:r w:rsidRPr="00384E05">
              <w:rPr>
                <w:rFonts w:cs="Times New Roman"/>
                <w:sz w:val="24"/>
                <w:szCs w:val="24"/>
              </w:rPr>
              <w:t>Consultar perfil completo de una mascota</w:t>
            </w:r>
          </w:p>
        </w:tc>
        <w:tc>
          <w:tcPr>
            <w:tcW w:w="3135" w:type="dxa"/>
            <w:tcMar>
              <w:top w:w="80" w:type="dxa"/>
              <w:left w:w="80" w:type="dxa"/>
              <w:bottom w:w="80" w:type="dxa"/>
              <w:right w:w="80" w:type="dxa"/>
            </w:tcMar>
            <w:vAlign w:val="center"/>
          </w:tcPr>
          <w:p w14:paraId="432FB8AC" w14:textId="77777777" w:rsidR="00887D1B" w:rsidRPr="00384E05" w:rsidRDefault="00000000">
            <w:pPr>
              <w:spacing w:after="0"/>
              <w:jc w:val="left"/>
              <w:rPr>
                <w:rFonts w:cs="Times New Roman"/>
                <w:sz w:val="24"/>
                <w:szCs w:val="24"/>
              </w:rPr>
            </w:pPr>
            <w:r w:rsidRPr="00384E05">
              <w:rPr>
                <w:rFonts w:cs="Times New Roman"/>
                <w:sz w:val="24"/>
                <w:szCs w:val="24"/>
              </w:rPr>
              <w:t>Recupera la información autorizada del perfil y sus relaciones.</w:t>
            </w:r>
          </w:p>
        </w:tc>
      </w:tr>
      <w:tr w:rsidR="00887D1B" w:rsidRPr="00384E05" w14:paraId="487F68DC" w14:textId="77777777">
        <w:trPr>
          <w:jc w:val="center"/>
        </w:trPr>
        <w:tc>
          <w:tcPr>
            <w:tcW w:w="3135" w:type="dxa"/>
            <w:tcMar>
              <w:top w:w="80" w:type="dxa"/>
              <w:left w:w="80" w:type="dxa"/>
              <w:bottom w:w="80" w:type="dxa"/>
              <w:right w:w="80" w:type="dxa"/>
            </w:tcMar>
            <w:vAlign w:val="center"/>
          </w:tcPr>
          <w:p w14:paraId="75BE0A81" w14:textId="77777777" w:rsidR="00887D1B" w:rsidRPr="00384E05" w:rsidRDefault="00000000">
            <w:pPr>
              <w:spacing w:after="0"/>
              <w:jc w:val="left"/>
              <w:rPr>
                <w:rFonts w:cs="Times New Roman"/>
                <w:sz w:val="24"/>
                <w:szCs w:val="24"/>
              </w:rPr>
            </w:pPr>
            <w:r w:rsidRPr="00384E05">
              <w:rPr>
                <w:rFonts w:cs="Times New Roman"/>
                <w:b/>
                <w:sz w:val="24"/>
                <w:szCs w:val="24"/>
              </w:rPr>
              <w:t>RF-09</w:t>
            </w:r>
          </w:p>
        </w:tc>
        <w:tc>
          <w:tcPr>
            <w:tcW w:w="3135" w:type="dxa"/>
            <w:tcMar>
              <w:top w:w="80" w:type="dxa"/>
              <w:left w:w="80" w:type="dxa"/>
              <w:bottom w:w="80" w:type="dxa"/>
              <w:right w:w="80" w:type="dxa"/>
            </w:tcMar>
            <w:vAlign w:val="center"/>
          </w:tcPr>
          <w:p w14:paraId="16A5F126" w14:textId="77777777" w:rsidR="00887D1B" w:rsidRPr="00384E05" w:rsidRDefault="00000000">
            <w:pPr>
              <w:spacing w:after="0"/>
              <w:jc w:val="left"/>
              <w:rPr>
                <w:rFonts w:cs="Times New Roman"/>
                <w:sz w:val="24"/>
                <w:szCs w:val="24"/>
              </w:rPr>
            </w:pPr>
            <w:r w:rsidRPr="00384E05">
              <w:rPr>
                <w:rFonts w:cs="Times New Roman"/>
                <w:sz w:val="24"/>
                <w:szCs w:val="24"/>
              </w:rPr>
              <w:t>Validar la información médica de una mascota</w:t>
            </w:r>
          </w:p>
        </w:tc>
        <w:tc>
          <w:tcPr>
            <w:tcW w:w="3135" w:type="dxa"/>
            <w:tcMar>
              <w:top w:w="80" w:type="dxa"/>
              <w:left w:w="80" w:type="dxa"/>
              <w:bottom w:w="80" w:type="dxa"/>
              <w:right w:w="80" w:type="dxa"/>
            </w:tcMar>
            <w:vAlign w:val="center"/>
          </w:tcPr>
          <w:p w14:paraId="77210310" w14:textId="77777777" w:rsidR="00887D1B" w:rsidRPr="00384E05" w:rsidRDefault="00000000">
            <w:pPr>
              <w:spacing w:after="0"/>
              <w:jc w:val="left"/>
              <w:rPr>
                <w:rFonts w:cs="Times New Roman"/>
                <w:sz w:val="24"/>
                <w:szCs w:val="24"/>
              </w:rPr>
            </w:pPr>
            <w:r w:rsidRPr="00384E05">
              <w:rPr>
                <w:rFonts w:cs="Times New Roman"/>
                <w:sz w:val="24"/>
                <w:szCs w:val="24"/>
              </w:rPr>
              <w:t>Introduce el proceso de revisión por un actor veterinario autorizado.</w:t>
            </w:r>
          </w:p>
        </w:tc>
      </w:tr>
      <w:tr w:rsidR="00887D1B" w:rsidRPr="00384E05" w14:paraId="2DCC4D1C" w14:textId="77777777">
        <w:trPr>
          <w:jc w:val="center"/>
        </w:trPr>
        <w:tc>
          <w:tcPr>
            <w:tcW w:w="3135" w:type="dxa"/>
            <w:tcMar>
              <w:top w:w="80" w:type="dxa"/>
              <w:left w:w="80" w:type="dxa"/>
              <w:bottom w:w="80" w:type="dxa"/>
              <w:right w:w="80" w:type="dxa"/>
            </w:tcMar>
            <w:vAlign w:val="center"/>
          </w:tcPr>
          <w:p w14:paraId="5AE69710" w14:textId="77777777" w:rsidR="00887D1B" w:rsidRPr="00384E05" w:rsidRDefault="00000000">
            <w:pPr>
              <w:spacing w:after="0"/>
              <w:jc w:val="left"/>
              <w:rPr>
                <w:rFonts w:cs="Times New Roman"/>
                <w:sz w:val="24"/>
                <w:szCs w:val="24"/>
              </w:rPr>
            </w:pPr>
            <w:r w:rsidRPr="00384E05">
              <w:rPr>
                <w:rFonts w:cs="Times New Roman"/>
                <w:b/>
                <w:sz w:val="24"/>
                <w:szCs w:val="24"/>
              </w:rPr>
              <w:t>RF-14</w:t>
            </w:r>
          </w:p>
        </w:tc>
        <w:tc>
          <w:tcPr>
            <w:tcW w:w="3135" w:type="dxa"/>
            <w:tcMar>
              <w:top w:w="80" w:type="dxa"/>
              <w:left w:w="80" w:type="dxa"/>
              <w:bottom w:w="80" w:type="dxa"/>
              <w:right w:w="80" w:type="dxa"/>
            </w:tcMar>
            <w:vAlign w:val="center"/>
          </w:tcPr>
          <w:p w14:paraId="5B3E242B" w14:textId="77777777" w:rsidR="00887D1B" w:rsidRPr="00384E05" w:rsidRDefault="00000000">
            <w:pPr>
              <w:spacing w:after="0"/>
              <w:jc w:val="left"/>
              <w:rPr>
                <w:rFonts w:cs="Times New Roman"/>
                <w:sz w:val="24"/>
                <w:szCs w:val="24"/>
              </w:rPr>
            </w:pPr>
            <w:r w:rsidRPr="00384E05">
              <w:rPr>
                <w:rFonts w:cs="Times New Roman"/>
                <w:sz w:val="24"/>
                <w:szCs w:val="24"/>
              </w:rPr>
              <w:t>Gestionar carnet de vacunación</w:t>
            </w:r>
          </w:p>
        </w:tc>
        <w:tc>
          <w:tcPr>
            <w:tcW w:w="3135" w:type="dxa"/>
            <w:tcMar>
              <w:top w:w="80" w:type="dxa"/>
              <w:left w:w="80" w:type="dxa"/>
              <w:bottom w:w="80" w:type="dxa"/>
              <w:right w:w="80" w:type="dxa"/>
            </w:tcMar>
            <w:vAlign w:val="center"/>
          </w:tcPr>
          <w:p w14:paraId="79FE59EA" w14:textId="77777777" w:rsidR="00887D1B" w:rsidRPr="00384E05" w:rsidRDefault="00000000">
            <w:pPr>
              <w:spacing w:after="0"/>
              <w:jc w:val="left"/>
              <w:rPr>
                <w:rFonts w:cs="Times New Roman"/>
                <w:sz w:val="24"/>
                <w:szCs w:val="24"/>
              </w:rPr>
            </w:pPr>
            <w:r w:rsidRPr="00384E05">
              <w:rPr>
                <w:rFonts w:cs="Times New Roman"/>
                <w:sz w:val="24"/>
                <w:szCs w:val="24"/>
              </w:rPr>
              <w:t xml:space="preserve">Modela información sanitaria estructurada y su relación con </w:t>
            </w:r>
            <w:r w:rsidRPr="00384E05">
              <w:rPr>
                <w:rFonts w:cs="Times New Roman"/>
                <w:sz w:val="24"/>
                <w:szCs w:val="24"/>
              </w:rPr>
              <w:lastRenderedPageBreak/>
              <w:t>vacunas y controles.</w:t>
            </w:r>
          </w:p>
        </w:tc>
      </w:tr>
      <w:tr w:rsidR="00887D1B" w:rsidRPr="00384E05" w14:paraId="0699A62D" w14:textId="77777777">
        <w:trPr>
          <w:jc w:val="center"/>
        </w:trPr>
        <w:tc>
          <w:tcPr>
            <w:tcW w:w="3135" w:type="dxa"/>
            <w:tcMar>
              <w:top w:w="80" w:type="dxa"/>
              <w:left w:w="80" w:type="dxa"/>
              <w:bottom w:w="80" w:type="dxa"/>
              <w:right w:w="80" w:type="dxa"/>
            </w:tcMar>
            <w:vAlign w:val="center"/>
          </w:tcPr>
          <w:p w14:paraId="11B7029E" w14:textId="77777777" w:rsidR="00887D1B" w:rsidRPr="00384E05" w:rsidRDefault="00000000">
            <w:pPr>
              <w:spacing w:after="0"/>
              <w:jc w:val="left"/>
              <w:rPr>
                <w:rFonts w:cs="Times New Roman"/>
                <w:sz w:val="24"/>
                <w:szCs w:val="24"/>
              </w:rPr>
            </w:pPr>
            <w:r w:rsidRPr="00384E05">
              <w:rPr>
                <w:rFonts w:cs="Times New Roman"/>
                <w:b/>
                <w:sz w:val="24"/>
                <w:szCs w:val="24"/>
              </w:rPr>
              <w:lastRenderedPageBreak/>
              <w:t>RF-16</w:t>
            </w:r>
          </w:p>
        </w:tc>
        <w:tc>
          <w:tcPr>
            <w:tcW w:w="3135" w:type="dxa"/>
            <w:tcMar>
              <w:top w:w="80" w:type="dxa"/>
              <w:left w:w="80" w:type="dxa"/>
              <w:bottom w:w="80" w:type="dxa"/>
              <w:right w:w="80" w:type="dxa"/>
            </w:tcMar>
            <w:vAlign w:val="center"/>
          </w:tcPr>
          <w:p w14:paraId="34EC19E7" w14:textId="77777777" w:rsidR="00887D1B" w:rsidRPr="00384E05" w:rsidRDefault="00000000">
            <w:pPr>
              <w:spacing w:after="0"/>
              <w:jc w:val="left"/>
              <w:rPr>
                <w:rFonts w:cs="Times New Roman"/>
                <w:sz w:val="24"/>
                <w:szCs w:val="24"/>
              </w:rPr>
            </w:pPr>
            <w:r w:rsidRPr="00384E05">
              <w:rPr>
                <w:rFonts w:cs="Times New Roman"/>
                <w:sz w:val="24"/>
                <w:szCs w:val="24"/>
              </w:rPr>
              <w:t>Gestionar antecedentes genéticos y parentesco</w:t>
            </w:r>
          </w:p>
        </w:tc>
        <w:tc>
          <w:tcPr>
            <w:tcW w:w="3135" w:type="dxa"/>
            <w:tcMar>
              <w:top w:w="80" w:type="dxa"/>
              <w:left w:w="80" w:type="dxa"/>
              <w:bottom w:w="80" w:type="dxa"/>
              <w:right w:w="80" w:type="dxa"/>
            </w:tcMar>
            <w:vAlign w:val="center"/>
          </w:tcPr>
          <w:p w14:paraId="60AA76BA" w14:textId="77777777" w:rsidR="00887D1B" w:rsidRPr="00384E05" w:rsidRDefault="00000000">
            <w:pPr>
              <w:spacing w:after="0"/>
              <w:jc w:val="left"/>
              <w:rPr>
                <w:rFonts w:cs="Times New Roman"/>
                <w:sz w:val="24"/>
                <w:szCs w:val="24"/>
              </w:rPr>
            </w:pPr>
            <w:r w:rsidRPr="00384E05">
              <w:rPr>
                <w:rFonts w:cs="Times New Roman"/>
                <w:sz w:val="24"/>
                <w:szCs w:val="24"/>
              </w:rPr>
              <w:t>Añade antecedentes útiles para procesos responsables de cruza.</w:t>
            </w:r>
          </w:p>
        </w:tc>
      </w:tr>
      <w:tr w:rsidR="00887D1B" w:rsidRPr="00384E05" w14:paraId="6309E61C" w14:textId="77777777">
        <w:trPr>
          <w:jc w:val="center"/>
        </w:trPr>
        <w:tc>
          <w:tcPr>
            <w:tcW w:w="3135" w:type="dxa"/>
            <w:tcMar>
              <w:top w:w="80" w:type="dxa"/>
              <w:left w:w="80" w:type="dxa"/>
              <w:bottom w:w="80" w:type="dxa"/>
              <w:right w:w="80" w:type="dxa"/>
            </w:tcMar>
            <w:vAlign w:val="center"/>
          </w:tcPr>
          <w:p w14:paraId="4F88AF57" w14:textId="77777777" w:rsidR="00887D1B" w:rsidRPr="00384E05" w:rsidRDefault="00000000">
            <w:pPr>
              <w:spacing w:after="0"/>
              <w:jc w:val="left"/>
              <w:rPr>
                <w:rFonts w:cs="Times New Roman"/>
                <w:sz w:val="24"/>
                <w:szCs w:val="24"/>
              </w:rPr>
            </w:pPr>
            <w:r w:rsidRPr="00384E05">
              <w:rPr>
                <w:rFonts w:cs="Times New Roman"/>
                <w:b/>
                <w:sz w:val="24"/>
                <w:szCs w:val="24"/>
              </w:rPr>
              <w:t>RF-11</w:t>
            </w:r>
          </w:p>
        </w:tc>
        <w:tc>
          <w:tcPr>
            <w:tcW w:w="3135" w:type="dxa"/>
            <w:tcMar>
              <w:top w:w="80" w:type="dxa"/>
              <w:left w:w="80" w:type="dxa"/>
              <w:bottom w:w="80" w:type="dxa"/>
              <w:right w:w="80" w:type="dxa"/>
            </w:tcMar>
            <w:vAlign w:val="center"/>
          </w:tcPr>
          <w:p w14:paraId="49BB6FC7" w14:textId="77777777" w:rsidR="00887D1B" w:rsidRPr="00384E05" w:rsidRDefault="00000000">
            <w:pPr>
              <w:spacing w:after="0"/>
              <w:jc w:val="left"/>
              <w:rPr>
                <w:rFonts w:cs="Times New Roman"/>
                <w:sz w:val="24"/>
                <w:szCs w:val="24"/>
              </w:rPr>
            </w:pPr>
            <w:r w:rsidRPr="00384E05">
              <w:rPr>
                <w:rFonts w:cs="Times New Roman"/>
                <w:sz w:val="24"/>
                <w:szCs w:val="24"/>
              </w:rPr>
              <w:t>Administrar la privacidad de la información</w:t>
            </w:r>
          </w:p>
        </w:tc>
        <w:tc>
          <w:tcPr>
            <w:tcW w:w="3135" w:type="dxa"/>
            <w:tcMar>
              <w:top w:w="80" w:type="dxa"/>
              <w:left w:w="80" w:type="dxa"/>
              <w:bottom w:w="80" w:type="dxa"/>
              <w:right w:w="80" w:type="dxa"/>
            </w:tcMar>
            <w:vAlign w:val="center"/>
          </w:tcPr>
          <w:p w14:paraId="36BBF099" w14:textId="77777777" w:rsidR="00887D1B" w:rsidRPr="00384E05" w:rsidRDefault="00000000">
            <w:pPr>
              <w:spacing w:after="0"/>
              <w:jc w:val="left"/>
              <w:rPr>
                <w:rFonts w:cs="Times New Roman"/>
                <w:sz w:val="24"/>
                <w:szCs w:val="24"/>
              </w:rPr>
            </w:pPr>
            <w:r w:rsidRPr="00384E05">
              <w:rPr>
                <w:rFonts w:cs="Times New Roman"/>
                <w:sz w:val="24"/>
                <w:szCs w:val="24"/>
              </w:rPr>
              <w:t>Se considera requisito transversal para controlar qué datos médicos pueden ser consultados.</w:t>
            </w:r>
          </w:p>
        </w:tc>
      </w:tr>
    </w:tbl>
    <w:p w14:paraId="0DCDB9C9" w14:textId="77777777" w:rsidR="00887D1B" w:rsidRPr="00384E05" w:rsidRDefault="00000000">
      <w:pPr>
        <w:rPr>
          <w:rFonts w:cs="Times New Roman"/>
          <w:sz w:val="24"/>
          <w:szCs w:val="24"/>
        </w:rPr>
      </w:pPr>
      <w:r w:rsidRPr="00384E05">
        <w:rPr>
          <w:rFonts w:cs="Times New Roman"/>
          <w:sz w:val="24"/>
          <w:szCs w:val="24"/>
        </w:rPr>
        <w:t>La práctica experimental de MundiPets relaciona estos requisitos con clases del dominio como Mascota, HistorialMedico, DocumentoVeterinario, CarnetVacunacion y otras entidades asociadas, confirmando que el subsistema dispone de suficiente riqueza estructural para construir un diagrama de clases de seis o más clases sin incorporar elementos ajenos al objetivo de la demostración [8].</w:t>
      </w:r>
    </w:p>
    <w:p w14:paraId="285CFFEE"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4.4 Alcance incluido y alcance excluido</w:t>
      </w:r>
    </w:p>
    <w:tbl>
      <w:tblPr>
        <w:tblStyle w:val="Tablaconcuadrcula"/>
        <w:tblW w:w="0" w:type="auto"/>
        <w:jc w:val="center"/>
        <w:tblLook w:val="04A0" w:firstRow="1" w:lastRow="0" w:firstColumn="1" w:lastColumn="0" w:noHBand="0" w:noVBand="1"/>
      </w:tblPr>
      <w:tblGrid>
        <w:gridCol w:w="4699"/>
        <w:gridCol w:w="4697"/>
      </w:tblGrid>
      <w:tr w:rsidR="00887D1B" w:rsidRPr="00384E05" w14:paraId="226AF49A" w14:textId="77777777">
        <w:trPr>
          <w:jc w:val="center"/>
        </w:trPr>
        <w:tc>
          <w:tcPr>
            <w:tcW w:w="4703" w:type="dxa"/>
            <w:shd w:val="clear" w:color="auto" w:fill="D9EAF7"/>
            <w:tcMar>
              <w:top w:w="80" w:type="dxa"/>
              <w:left w:w="80" w:type="dxa"/>
              <w:bottom w:w="80" w:type="dxa"/>
              <w:right w:w="80" w:type="dxa"/>
            </w:tcMar>
            <w:vAlign w:val="center"/>
          </w:tcPr>
          <w:p w14:paraId="12D311E0" w14:textId="77777777" w:rsidR="00887D1B" w:rsidRPr="00384E05" w:rsidRDefault="00000000">
            <w:pPr>
              <w:spacing w:after="0"/>
              <w:jc w:val="left"/>
              <w:rPr>
                <w:rFonts w:cs="Times New Roman"/>
                <w:sz w:val="24"/>
                <w:szCs w:val="24"/>
              </w:rPr>
            </w:pPr>
            <w:r w:rsidRPr="00384E05">
              <w:rPr>
                <w:rFonts w:cs="Times New Roman"/>
                <w:b/>
                <w:sz w:val="24"/>
                <w:szCs w:val="24"/>
              </w:rPr>
              <w:t>Incluido en el subsistema</w:t>
            </w:r>
          </w:p>
        </w:tc>
        <w:tc>
          <w:tcPr>
            <w:tcW w:w="4703" w:type="dxa"/>
            <w:shd w:val="clear" w:color="auto" w:fill="D9EAF7"/>
            <w:tcMar>
              <w:top w:w="80" w:type="dxa"/>
              <w:left w:w="80" w:type="dxa"/>
              <w:bottom w:w="80" w:type="dxa"/>
              <w:right w:w="80" w:type="dxa"/>
            </w:tcMar>
            <w:vAlign w:val="center"/>
          </w:tcPr>
          <w:p w14:paraId="46616BA2" w14:textId="77777777" w:rsidR="00887D1B" w:rsidRPr="00384E05" w:rsidRDefault="00000000">
            <w:pPr>
              <w:spacing w:after="0"/>
              <w:jc w:val="left"/>
              <w:rPr>
                <w:rFonts w:cs="Times New Roman"/>
                <w:sz w:val="24"/>
                <w:szCs w:val="24"/>
              </w:rPr>
            </w:pPr>
            <w:r w:rsidRPr="00384E05">
              <w:rPr>
                <w:rFonts w:cs="Times New Roman"/>
                <w:b/>
                <w:sz w:val="24"/>
                <w:szCs w:val="24"/>
              </w:rPr>
              <w:t>Fuera del alcance de esta demostración</w:t>
            </w:r>
          </w:p>
        </w:tc>
      </w:tr>
      <w:tr w:rsidR="00887D1B" w:rsidRPr="00384E05" w14:paraId="3CCB2420" w14:textId="77777777">
        <w:trPr>
          <w:jc w:val="center"/>
        </w:trPr>
        <w:tc>
          <w:tcPr>
            <w:tcW w:w="4703" w:type="dxa"/>
            <w:tcMar>
              <w:top w:w="80" w:type="dxa"/>
              <w:left w:w="80" w:type="dxa"/>
              <w:bottom w:w="80" w:type="dxa"/>
              <w:right w:w="80" w:type="dxa"/>
            </w:tcMar>
            <w:vAlign w:val="center"/>
          </w:tcPr>
          <w:p w14:paraId="7C368E1C" w14:textId="77777777" w:rsidR="00887D1B" w:rsidRPr="00384E05" w:rsidRDefault="00000000">
            <w:pPr>
              <w:spacing w:after="0"/>
              <w:jc w:val="left"/>
              <w:rPr>
                <w:rFonts w:cs="Times New Roman"/>
                <w:sz w:val="24"/>
                <w:szCs w:val="24"/>
              </w:rPr>
            </w:pPr>
            <w:r w:rsidRPr="00384E05">
              <w:rPr>
                <w:rFonts w:cs="Times New Roman"/>
                <w:sz w:val="24"/>
                <w:szCs w:val="24"/>
              </w:rPr>
              <w:t>Registro y actualización de los datos esenciales de la mascota.</w:t>
            </w:r>
          </w:p>
        </w:tc>
        <w:tc>
          <w:tcPr>
            <w:tcW w:w="4703" w:type="dxa"/>
            <w:tcMar>
              <w:top w:w="80" w:type="dxa"/>
              <w:left w:w="80" w:type="dxa"/>
              <w:bottom w:w="80" w:type="dxa"/>
              <w:right w:w="80" w:type="dxa"/>
            </w:tcMar>
            <w:vAlign w:val="center"/>
          </w:tcPr>
          <w:p w14:paraId="53F6C407" w14:textId="77777777" w:rsidR="00887D1B" w:rsidRPr="00384E05" w:rsidRDefault="00000000">
            <w:pPr>
              <w:spacing w:after="0"/>
              <w:jc w:val="left"/>
              <w:rPr>
                <w:rFonts w:cs="Times New Roman"/>
                <w:sz w:val="24"/>
                <w:szCs w:val="24"/>
              </w:rPr>
            </w:pPr>
            <w:r w:rsidRPr="00384E05">
              <w:rPr>
                <w:rFonts w:cs="Times New Roman"/>
                <w:sz w:val="24"/>
                <w:szCs w:val="24"/>
              </w:rPr>
              <w:t>Gestión completa de solicitudes de adopción.</w:t>
            </w:r>
          </w:p>
        </w:tc>
      </w:tr>
      <w:tr w:rsidR="00887D1B" w:rsidRPr="00384E05" w14:paraId="364809E0" w14:textId="77777777">
        <w:trPr>
          <w:jc w:val="center"/>
        </w:trPr>
        <w:tc>
          <w:tcPr>
            <w:tcW w:w="4703" w:type="dxa"/>
            <w:tcMar>
              <w:top w:w="80" w:type="dxa"/>
              <w:left w:w="80" w:type="dxa"/>
              <w:bottom w:w="80" w:type="dxa"/>
              <w:right w:w="80" w:type="dxa"/>
            </w:tcMar>
            <w:vAlign w:val="center"/>
          </w:tcPr>
          <w:p w14:paraId="5835A276" w14:textId="77777777" w:rsidR="00887D1B" w:rsidRPr="00384E05" w:rsidRDefault="00000000">
            <w:pPr>
              <w:spacing w:after="0"/>
              <w:jc w:val="left"/>
              <w:rPr>
                <w:rFonts w:cs="Times New Roman"/>
                <w:sz w:val="24"/>
                <w:szCs w:val="24"/>
              </w:rPr>
            </w:pPr>
            <w:r w:rsidRPr="00384E05">
              <w:rPr>
                <w:rFonts w:cs="Times New Roman"/>
                <w:sz w:val="24"/>
                <w:szCs w:val="24"/>
              </w:rPr>
              <w:t>Asociación del perfil con historial médico y documentos veterinarios.</w:t>
            </w:r>
          </w:p>
        </w:tc>
        <w:tc>
          <w:tcPr>
            <w:tcW w:w="4703" w:type="dxa"/>
            <w:tcMar>
              <w:top w:w="80" w:type="dxa"/>
              <w:left w:w="80" w:type="dxa"/>
              <w:bottom w:w="80" w:type="dxa"/>
              <w:right w:w="80" w:type="dxa"/>
            </w:tcMar>
            <w:vAlign w:val="center"/>
          </w:tcPr>
          <w:p w14:paraId="1CA6639C" w14:textId="77777777" w:rsidR="00887D1B" w:rsidRPr="00384E05" w:rsidRDefault="00000000">
            <w:pPr>
              <w:spacing w:after="0"/>
              <w:jc w:val="left"/>
              <w:rPr>
                <w:rFonts w:cs="Times New Roman"/>
                <w:sz w:val="24"/>
                <w:szCs w:val="24"/>
              </w:rPr>
            </w:pPr>
            <w:r w:rsidRPr="00384E05">
              <w:rPr>
                <w:rFonts w:cs="Times New Roman"/>
                <w:sz w:val="24"/>
                <w:szCs w:val="24"/>
              </w:rPr>
              <w:t>Gestión completa de solicitudes de cruza.</w:t>
            </w:r>
          </w:p>
        </w:tc>
      </w:tr>
      <w:tr w:rsidR="00887D1B" w:rsidRPr="00384E05" w14:paraId="6E8BCFE5" w14:textId="77777777">
        <w:trPr>
          <w:jc w:val="center"/>
        </w:trPr>
        <w:tc>
          <w:tcPr>
            <w:tcW w:w="4703" w:type="dxa"/>
            <w:tcMar>
              <w:top w:w="80" w:type="dxa"/>
              <w:left w:w="80" w:type="dxa"/>
              <w:bottom w:w="80" w:type="dxa"/>
              <w:right w:w="80" w:type="dxa"/>
            </w:tcMar>
            <w:vAlign w:val="center"/>
          </w:tcPr>
          <w:p w14:paraId="04AFA4AE" w14:textId="77777777" w:rsidR="00887D1B" w:rsidRPr="00384E05" w:rsidRDefault="00000000">
            <w:pPr>
              <w:spacing w:after="0"/>
              <w:jc w:val="left"/>
              <w:rPr>
                <w:rFonts w:cs="Times New Roman"/>
                <w:sz w:val="24"/>
                <w:szCs w:val="24"/>
              </w:rPr>
            </w:pPr>
            <w:r w:rsidRPr="00384E05">
              <w:rPr>
                <w:rFonts w:cs="Times New Roman"/>
                <w:sz w:val="24"/>
                <w:szCs w:val="24"/>
              </w:rPr>
              <w:t>Carnet de vacunación y elementos sanitarios relacionados.</w:t>
            </w:r>
          </w:p>
        </w:tc>
        <w:tc>
          <w:tcPr>
            <w:tcW w:w="4703" w:type="dxa"/>
            <w:tcMar>
              <w:top w:w="80" w:type="dxa"/>
              <w:left w:w="80" w:type="dxa"/>
              <w:bottom w:w="80" w:type="dxa"/>
              <w:right w:w="80" w:type="dxa"/>
            </w:tcMar>
            <w:vAlign w:val="center"/>
          </w:tcPr>
          <w:p w14:paraId="614D5391" w14:textId="77777777" w:rsidR="00887D1B" w:rsidRPr="00384E05" w:rsidRDefault="00000000">
            <w:pPr>
              <w:spacing w:after="0"/>
              <w:jc w:val="left"/>
              <w:rPr>
                <w:rFonts w:cs="Times New Roman"/>
                <w:sz w:val="24"/>
                <w:szCs w:val="24"/>
              </w:rPr>
            </w:pPr>
            <w:r w:rsidRPr="00384E05">
              <w:rPr>
                <w:rFonts w:cs="Times New Roman"/>
                <w:sz w:val="24"/>
                <w:szCs w:val="24"/>
              </w:rPr>
              <w:t>Mensajería y conversaciones entre usuarios.</w:t>
            </w:r>
          </w:p>
        </w:tc>
      </w:tr>
      <w:tr w:rsidR="00887D1B" w:rsidRPr="00384E05" w14:paraId="684DFC12" w14:textId="77777777">
        <w:trPr>
          <w:jc w:val="center"/>
        </w:trPr>
        <w:tc>
          <w:tcPr>
            <w:tcW w:w="4703" w:type="dxa"/>
            <w:tcMar>
              <w:top w:w="80" w:type="dxa"/>
              <w:left w:w="80" w:type="dxa"/>
              <w:bottom w:w="80" w:type="dxa"/>
              <w:right w:w="80" w:type="dxa"/>
            </w:tcMar>
            <w:vAlign w:val="center"/>
          </w:tcPr>
          <w:p w14:paraId="04B36574" w14:textId="77777777" w:rsidR="00887D1B" w:rsidRPr="00384E05" w:rsidRDefault="00000000">
            <w:pPr>
              <w:spacing w:after="0"/>
              <w:jc w:val="left"/>
              <w:rPr>
                <w:rFonts w:cs="Times New Roman"/>
                <w:sz w:val="24"/>
                <w:szCs w:val="24"/>
              </w:rPr>
            </w:pPr>
            <w:r w:rsidRPr="00384E05">
              <w:rPr>
                <w:rFonts w:cs="Times New Roman"/>
                <w:sz w:val="24"/>
                <w:szCs w:val="24"/>
              </w:rPr>
              <w:t>Validación de información/documentación médica.</w:t>
            </w:r>
          </w:p>
        </w:tc>
        <w:tc>
          <w:tcPr>
            <w:tcW w:w="4703" w:type="dxa"/>
            <w:tcMar>
              <w:top w:w="80" w:type="dxa"/>
              <w:left w:w="80" w:type="dxa"/>
              <w:bottom w:w="80" w:type="dxa"/>
              <w:right w:w="80" w:type="dxa"/>
            </w:tcMar>
            <w:vAlign w:val="center"/>
          </w:tcPr>
          <w:p w14:paraId="7147BDEC" w14:textId="77777777" w:rsidR="00887D1B" w:rsidRPr="00384E05" w:rsidRDefault="00000000">
            <w:pPr>
              <w:spacing w:after="0"/>
              <w:jc w:val="left"/>
              <w:rPr>
                <w:rFonts w:cs="Times New Roman"/>
                <w:sz w:val="24"/>
                <w:szCs w:val="24"/>
              </w:rPr>
            </w:pPr>
            <w:r w:rsidRPr="00384E05">
              <w:rPr>
                <w:rFonts w:cs="Times New Roman"/>
                <w:sz w:val="24"/>
                <w:szCs w:val="24"/>
              </w:rPr>
              <w:t>Motor de inteligencia artificial y algoritmos de compatibilidad.</w:t>
            </w:r>
          </w:p>
        </w:tc>
      </w:tr>
      <w:tr w:rsidR="00887D1B" w:rsidRPr="00384E05" w14:paraId="4B4244AB" w14:textId="77777777">
        <w:trPr>
          <w:jc w:val="center"/>
        </w:trPr>
        <w:tc>
          <w:tcPr>
            <w:tcW w:w="4703" w:type="dxa"/>
            <w:tcMar>
              <w:top w:w="80" w:type="dxa"/>
              <w:left w:w="80" w:type="dxa"/>
              <w:bottom w:w="80" w:type="dxa"/>
              <w:right w:w="80" w:type="dxa"/>
            </w:tcMar>
            <w:vAlign w:val="center"/>
          </w:tcPr>
          <w:p w14:paraId="12CC29C4" w14:textId="77777777" w:rsidR="00887D1B" w:rsidRPr="00384E05" w:rsidRDefault="00000000">
            <w:pPr>
              <w:spacing w:after="0"/>
              <w:jc w:val="left"/>
              <w:rPr>
                <w:rFonts w:cs="Times New Roman"/>
                <w:sz w:val="24"/>
                <w:szCs w:val="24"/>
              </w:rPr>
            </w:pPr>
            <w:r w:rsidRPr="00384E05">
              <w:rPr>
                <w:rFonts w:cs="Times New Roman"/>
                <w:sz w:val="24"/>
                <w:szCs w:val="24"/>
              </w:rPr>
              <w:t>Antecedentes genéticos y reglas básicas de visibilidad del perfil.</w:t>
            </w:r>
          </w:p>
        </w:tc>
        <w:tc>
          <w:tcPr>
            <w:tcW w:w="4703" w:type="dxa"/>
            <w:tcMar>
              <w:top w:w="80" w:type="dxa"/>
              <w:left w:w="80" w:type="dxa"/>
              <w:bottom w:w="80" w:type="dxa"/>
              <w:right w:w="80" w:type="dxa"/>
            </w:tcMar>
            <w:vAlign w:val="center"/>
          </w:tcPr>
          <w:p w14:paraId="3D6AF4E8" w14:textId="77777777" w:rsidR="00887D1B" w:rsidRPr="00384E05" w:rsidRDefault="00000000">
            <w:pPr>
              <w:spacing w:after="0"/>
              <w:jc w:val="left"/>
              <w:rPr>
                <w:rFonts w:cs="Times New Roman"/>
                <w:sz w:val="24"/>
                <w:szCs w:val="24"/>
              </w:rPr>
            </w:pPr>
            <w:r w:rsidRPr="00384E05">
              <w:rPr>
                <w:rFonts w:cs="Times New Roman"/>
                <w:sz w:val="24"/>
                <w:szCs w:val="24"/>
              </w:rPr>
              <w:t>Moderación global, reportes y administración integral de la red social.</w:t>
            </w:r>
          </w:p>
        </w:tc>
      </w:tr>
    </w:tbl>
    <w:p w14:paraId="48512C89"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4.5 Clases de dominio candidatas para el modelo de origen</w:t>
      </w:r>
    </w:p>
    <w:p w14:paraId="6D266A7E" w14:textId="77777777" w:rsidR="00887D1B" w:rsidRPr="00384E05" w:rsidRDefault="00000000">
      <w:pPr>
        <w:rPr>
          <w:rFonts w:cs="Times New Roman"/>
          <w:sz w:val="24"/>
          <w:szCs w:val="24"/>
        </w:rPr>
      </w:pPr>
      <w:r w:rsidRPr="00384E05">
        <w:rPr>
          <w:rFonts w:cs="Times New Roman"/>
          <w:sz w:val="24"/>
          <w:szCs w:val="24"/>
        </w:rPr>
        <w:t xml:space="preserve">Sin sustituir la responsabilidad del Integrante 1 sobre el diagrama definitivo, la documentación previa permite proponer como conjunto coherente de clases para este subsistema: Mascota, Propietario/Usuario, HistorialMedico, DocumentoVeterinario, CarnetVacunacion, Vacuna, ValidacionMedica y AntecedenteGenetico. Este conjunto supera el mínimo de seis clases exigido por la guía y permite representar cardinalidades, colecciones y operaciones con firmas completas. La denominación final debe coincidir exactamente con el </w:t>
      </w:r>
      <w:proofErr w:type="gramStart"/>
      <w:r w:rsidRPr="00384E05">
        <w:rPr>
          <w:rFonts w:cs="Times New Roman"/>
          <w:sz w:val="24"/>
          <w:szCs w:val="24"/>
        </w:rPr>
        <w:t>archivo .vpp</w:t>
      </w:r>
      <w:proofErr w:type="gramEnd"/>
      <w:r w:rsidRPr="00384E05">
        <w:rPr>
          <w:rFonts w:cs="Times New Roman"/>
          <w:sz w:val="24"/>
          <w:szCs w:val="24"/>
        </w:rPr>
        <w:t xml:space="preserve"> y con el código que se genere.</w:t>
      </w:r>
    </w:p>
    <w:p w14:paraId="75D06519" w14:textId="77777777" w:rsidR="00887D1B" w:rsidRPr="00384E05" w:rsidRDefault="00000000">
      <w:pPr>
        <w:pStyle w:val="Ttulo2"/>
        <w:rPr>
          <w:rFonts w:ascii="Times New Roman" w:hAnsi="Times New Roman" w:cs="Times New Roman"/>
          <w:color w:val="000000" w:themeColor="text1"/>
          <w:szCs w:val="24"/>
        </w:rPr>
      </w:pPr>
      <w:r w:rsidRPr="00384E05">
        <w:rPr>
          <w:rFonts w:ascii="Times New Roman" w:hAnsi="Times New Roman" w:cs="Times New Roman"/>
          <w:color w:val="000000" w:themeColor="text1"/>
          <w:szCs w:val="24"/>
        </w:rPr>
        <w:t>4.6 Representatividad para la demostración MDD</w:t>
      </w:r>
    </w:p>
    <w:p w14:paraId="56C35DB3" w14:textId="77777777" w:rsidR="00887D1B" w:rsidRPr="00384E05" w:rsidRDefault="00000000">
      <w:pPr>
        <w:rPr>
          <w:rFonts w:cs="Times New Roman"/>
          <w:sz w:val="24"/>
          <w:szCs w:val="24"/>
        </w:rPr>
      </w:pPr>
      <w:r w:rsidRPr="00384E05">
        <w:rPr>
          <w:rFonts w:cs="Times New Roman"/>
          <w:sz w:val="24"/>
          <w:szCs w:val="24"/>
        </w:rPr>
        <w:t xml:space="preserve">El subsistema seleccionado ofrece una demostración clara del enfoque MDD porque la entidad Mascota funciona como núcleo y se relaciona con objetos que poseen ciclos y responsabilidades distintas. Un cambio como agregar un atributo al perfil, una operación al historial o una relación </w:t>
      </w:r>
      <w:r w:rsidRPr="00384E05">
        <w:rPr>
          <w:rFonts w:cs="Times New Roman"/>
          <w:sz w:val="24"/>
          <w:szCs w:val="24"/>
        </w:rPr>
        <w:lastRenderedPageBreak/>
        <w:t>con una entidad sanitaria puede observarse primero en UML y luego en el código regenerado. Esto facilita construir la tabla de correspondencia modelo → código y mostrar trazabilidad.</w:t>
      </w:r>
    </w:p>
    <w:p w14:paraId="1FEE9257" w14:textId="77777777" w:rsidR="00887D1B" w:rsidRPr="00384E05" w:rsidRDefault="00000000">
      <w:pPr>
        <w:rPr>
          <w:rFonts w:cs="Times New Roman"/>
          <w:sz w:val="24"/>
          <w:szCs w:val="24"/>
        </w:rPr>
      </w:pPr>
      <w:r w:rsidRPr="00384E05">
        <w:rPr>
          <w:rFonts w:cs="Times New Roman"/>
          <w:sz w:val="24"/>
          <w:szCs w:val="24"/>
        </w:rPr>
        <w:t>Además, la separación del subsistema evita que la exposición se convierta en una revisión general de MundiPets. El objetivo de la demostración debe permanecer en Visual Paradigm y en el recorrido modelo → generación → verificación → roundtrip, utilizando el dominio de MundiPets únicamente como caso real sobre el cual se evidencia el funcionamiento de la herramienta.</w:t>
      </w:r>
    </w:p>
    <w:p w14:paraId="6C3B2CA1" w14:textId="06FFDDB8" w:rsidR="00887D1B" w:rsidRPr="00384E05" w:rsidRDefault="00000000" w:rsidP="00384E05">
      <w:pPr>
        <w:rPr>
          <w:rFonts w:cs="Times New Roman"/>
          <w:b/>
          <w:bCs/>
          <w:sz w:val="24"/>
          <w:szCs w:val="24"/>
        </w:rPr>
      </w:pPr>
      <w:r w:rsidRPr="00384E05">
        <w:rPr>
          <w:rFonts w:cs="Times New Roman"/>
          <w:b/>
          <w:bCs/>
          <w:color w:val="000000" w:themeColor="text1"/>
          <w:sz w:val="24"/>
          <w:szCs w:val="24"/>
        </w:rPr>
        <w:t>11. Conclusiones</w:t>
      </w:r>
    </w:p>
    <w:p w14:paraId="352C05FD" w14:textId="77777777" w:rsidR="00887D1B" w:rsidRPr="00384E05" w:rsidRDefault="00000000">
      <w:pPr>
        <w:rPr>
          <w:rFonts w:cs="Times New Roman"/>
          <w:sz w:val="24"/>
          <w:szCs w:val="24"/>
        </w:rPr>
      </w:pPr>
      <w:r w:rsidRPr="00384E05">
        <w:rPr>
          <w:rFonts w:cs="Times New Roman"/>
          <w:sz w:val="24"/>
          <w:szCs w:val="24"/>
        </w:rPr>
        <w:t>El enfoque MDD aporta valor al PFC MundiPets cuando el modelo se utiliza como un artefacto operativo y no únicamente como documentación. La posibilidad de generar una base de código desde un diagrama UML reduce tareas repetitivas, favorece la consistencia estructural y crea una relación verificable entre las decisiones del modelo y los archivos producidos. La literatura reciente señala que la automatización y la trazabilidad son dos de los beneficios más relevantes de los enfoques dirigidos por modelos, siempre que exista disciplina en la gestión de modelos, reglas y artefactos generados [1], [5], [6].</w:t>
      </w:r>
    </w:p>
    <w:p w14:paraId="74EE8B28" w14:textId="77777777" w:rsidR="00887D1B" w:rsidRPr="00384E05" w:rsidRDefault="00000000">
      <w:pPr>
        <w:rPr>
          <w:rFonts w:cs="Times New Roman"/>
          <w:sz w:val="24"/>
          <w:szCs w:val="24"/>
        </w:rPr>
      </w:pPr>
      <w:r w:rsidRPr="00384E05">
        <w:rPr>
          <w:rFonts w:cs="Times New Roman"/>
          <w:sz w:val="24"/>
          <w:szCs w:val="24"/>
        </w:rPr>
        <w:t>En MundiPets, delimitar la demostración al subsistema de perfil de mascota y validación médica permite comprobar el ciclo sobre una parte real y representativa del PFC sin intentar automatizar el sistema completo. Este subsistema contiene entidades, asociaciones y operaciones suficientes para evidenciar generación, correspondencia modelo–código y un cambio de roundtrip. Por ello, el código generado puede ser aprovechable como línea base estructural para el desarrollo posterior, pero no debe asumirse como una implementación funcional completa: reglas de negocio, seguridad, validaciones específicas, integración y pruebas continuarán requiriendo trabajo de desarrollo.</w:t>
      </w:r>
    </w:p>
    <w:p w14:paraId="7628D323" w14:textId="7D7D12AB" w:rsidR="00384E05" w:rsidRPr="00384E05" w:rsidRDefault="00000000">
      <w:pPr>
        <w:rPr>
          <w:rFonts w:cs="Times New Roman"/>
          <w:sz w:val="24"/>
          <w:szCs w:val="24"/>
        </w:rPr>
      </w:pPr>
      <w:r w:rsidRPr="00384E05">
        <w:rPr>
          <w:rFonts w:cs="Times New Roman"/>
          <w:sz w:val="24"/>
          <w:szCs w:val="24"/>
        </w:rPr>
        <w:t xml:space="preserve">El principal aprendizaje metodológico es que la calidad de la generación depende directamente de la precisión del modelo y de la configuración del generador. Estereotipos, multiplicidades, tipos y convenciones deben definirse con intención, porque una inconsistencia del modelo se propaga a los artefactos generados. Del mismo modo, la regeneración exige una política explícita para proteger o separar el código escrito manualmente, ya que el roundtrip es uno de los puntos donde pueden aparecer pérdidas de cambios o </w:t>
      </w:r>
      <w:proofErr w:type="spellStart"/>
      <w:r w:rsidRPr="00384E05">
        <w:rPr>
          <w:rFonts w:cs="Times New Roman"/>
          <w:sz w:val="24"/>
          <w:szCs w:val="24"/>
        </w:rPr>
        <w:t>divergencias</w:t>
      </w:r>
      <w:proofErr w:type="spellEnd"/>
      <w:r w:rsidRPr="00384E05">
        <w:rPr>
          <w:rFonts w:cs="Times New Roman"/>
          <w:sz w:val="24"/>
          <w:szCs w:val="24"/>
        </w:rPr>
        <w:t xml:space="preserve"> entre </w:t>
      </w:r>
      <w:proofErr w:type="spellStart"/>
      <w:r w:rsidRPr="00384E05">
        <w:rPr>
          <w:rFonts w:cs="Times New Roman"/>
          <w:sz w:val="24"/>
          <w:szCs w:val="24"/>
        </w:rPr>
        <w:t>modelo</w:t>
      </w:r>
      <w:proofErr w:type="spellEnd"/>
      <w:r w:rsidRPr="00384E05">
        <w:rPr>
          <w:rFonts w:cs="Times New Roman"/>
          <w:sz w:val="24"/>
          <w:szCs w:val="24"/>
        </w:rPr>
        <w:t xml:space="preserve"> e </w:t>
      </w:r>
      <w:proofErr w:type="spellStart"/>
      <w:r w:rsidRPr="00384E05">
        <w:rPr>
          <w:rFonts w:cs="Times New Roman"/>
          <w:sz w:val="24"/>
          <w:szCs w:val="24"/>
        </w:rPr>
        <w:t>implementación</w:t>
      </w:r>
      <w:proofErr w:type="spellEnd"/>
      <w:r w:rsidRPr="00384E05">
        <w:rPr>
          <w:rFonts w:cs="Times New Roman"/>
          <w:sz w:val="24"/>
          <w:szCs w:val="24"/>
        </w:rPr>
        <w:t xml:space="preserve"> [4].</w:t>
      </w:r>
    </w:p>
    <w:p w14:paraId="225EAFC2" w14:textId="1738EA31" w:rsidR="00887D1B" w:rsidRPr="00384E05" w:rsidRDefault="00000000">
      <w:pPr>
        <w:pStyle w:val="Ttulo1"/>
        <w:rPr>
          <w:rFonts w:ascii="Times New Roman" w:hAnsi="Times New Roman" w:cs="Times New Roman"/>
          <w:color w:val="000000" w:themeColor="text1"/>
          <w:sz w:val="24"/>
          <w:szCs w:val="24"/>
        </w:rPr>
      </w:pPr>
      <w:proofErr w:type="spellStart"/>
      <w:r w:rsidRPr="00384E05">
        <w:rPr>
          <w:rFonts w:ascii="Times New Roman" w:hAnsi="Times New Roman" w:cs="Times New Roman"/>
          <w:color w:val="000000" w:themeColor="text1"/>
          <w:sz w:val="24"/>
          <w:szCs w:val="24"/>
        </w:rPr>
        <w:t>Referencias</w:t>
      </w:r>
      <w:proofErr w:type="spellEnd"/>
      <w:r w:rsidRPr="00384E05">
        <w:rPr>
          <w:rFonts w:ascii="Times New Roman" w:hAnsi="Times New Roman" w:cs="Times New Roman"/>
          <w:color w:val="000000" w:themeColor="text1"/>
          <w:sz w:val="24"/>
          <w:szCs w:val="24"/>
        </w:rPr>
        <w:t xml:space="preserve"> </w:t>
      </w:r>
    </w:p>
    <w:p w14:paraId="25897B0C" w14:textId="77777777" w:rsidR="00887D1B" w:rsidRPr="00384E05" w:rsidRDefault="00000000">
      <w:pPr>
        <w:spacing w:after="100"/>
        <w:ind w:left="340" w:hanging="340"/>
        <w:rPr>
          <w:rFonts w:cs="Times New Roman"/>
          <w:sz w:val="24"/>
          <w:szCs w:val="24"/>
        </w:rPr>
      </w:pPr>
      <w:r w:rsidRPr="00384E05">
        <w:rPr>
          <w:rFonts w:cs="Times New Roman"/>
          <w:sz w:val="24"/>
          <w:szCs w:val="24"/>
        </w:rPr>
        <w:t>[1] G. Sebastián, J. A. Gallud y R. Tesoriero, “Code generation using model driven architecture: A systematic mapping study,” Journal of Computer Languages, vol. 56, art. 100935, 2020, doi: 10.1016/j.cola.2019.100935.</w:t>
      </w:r>
    </w:p>
    <w:p w14:paraId="26424D1C" w14:textId="77777777" w:rsidR="00887D1B" w:rsidRPr="00384E05" w:rsidRDefault="00000000">
      <w:pPr>
        <w:spacing w:after="100"/>
        <w:ind w:left="340" w:hanging="340"/>
        <w:rPr>
          <w:rFonts w:cs="Times New Roman"/>
          <w:sz w:val="24"/>
          <w:szCs w:val="24"/>
        </w:rPr>
      </w:pPr>
      <w:r w:rsidRPr="00384E05">
        <w:rPr>
          <w:rFonts w:cs="Times New Roman"/>
          <w:sz w:val="24"/>
          <w:szCs w:val="24"/>
        </w:rPr>
        <w:t xml:space="preserve">[2] N. Silega, M. Noguera, Y. I. Rogozov, V. S. Lapshin y T. González, “Transformation </w:t>
      </w:r>
      <w:proofErr w:type="gramStart"/>
      <w:r w:rsidRPr="00384E05">
        <w:rPr>
          <w:rFonts w:cs="Times New Roman"/>
          <w:sz w:val="24"/>
          <w:szCs w:val="24"/>
        </w:rPr>
        <w:t>From</w:t>
      </w:r>
      <w:proofErr w:type="gramEnd"/>
      <w:r w:rsidRPr="00384E05">
        <w:rPr>
          <w:rFonts w:cs="Times New Roman"/>
          <w:sz w:val="24"/>
          <w:szCs w:val="24"/>
        </w:rPr>
        <w:t xml:space="preserve"> CIM to PIM: A Systematic Mapping,” IEEE Access, vol. 10, pp. 90857–90872, 2022, doi: 10.1109/ACCESS.2022.3201556.</w:t>
      </w:r>
    </w:p>
    <w:p w14:paraId="5894E52A" w14:textId="77777777" w:rsidR="00887D1B" w:rsidRPr="00384E05" w:rsidRDefault="00000000">
      <w:pPr>
        <w:spacing w:after="100"/>
        <w:ind w:left="340" w:hanging="340"/>
        <w:rPr>
          <w:rFonts w:cs="Times New Roman"/>
          <w:sz w:val="24"/>
          <w:szCs w:val="24"/>
        </w:rPr>
      </w:pPr>
      <w:r w:rsidRPr="00384E05">
        <w:rPr>
          <w:rFonts w:cs="Times New Roman"/>
          <w:sz w:val="24"/>
          <w:szCs w:val="24"/>
        </w:rPr>
        <w:t xml:space="preserve">[3] D. Di Ruscio, D. Kolovos, J. de Lara, A. Pierantonio, M. Tisi y M. Wimmer, “Low-code development and model-driven engineering: Two sides of the same </w:t>
      </w:r>
      <w:proofErr w:type="gramStart"/>
      <w:r w:rsidRPr="00384E05">
        <w:rPr>
          <w:rFonts w:cs="Times New Roman"/>
          <w:sz w:val="24"/>
          <w:szCs w:val="24"/>
        </w:rPr>
        <w:t>coin?,</w:t>
      </w:r>
      <w:proofErr w:type="gramEnd"/>
      <w:r w:rsidRPr="00384E05">
        <w:rPr>
          <w:rFonts w:cs="Times New Roman"/>
          <w:sz w:val="24"/>
          <w:szCs w:val="24"/>
        </w:rPr>
        <w:t>” Software and Systems Modeling, vol. 21, no. 2, pp. 437–446, 2022, doi: 10.1007/s10270-021-00970-2.</w:t>
      </w:r>
    </w:p>
    <w:p w14:paraId="63286CB9" w14:textId="77777777" w:rsidR="00887D1B" w:rsidRPr="00384E05" w:rsidRDefault="00000000">
      <w:pPr>
        <w:spacing w:after="100"/>
        <w:ind w:left="340" w:hanging="340"/>
        <w:rPr>
          <w:rFonts w:cs="Times New Roman"/>
          <w:sz w:val="24"/>
          <w:szCs w:val="24"/>
        </w:rPr>
      </w:pPr>
      <w:r w:rsidRPr="00384E05">
        <w:rPr>
          <w:rFonts w:cs="Times New Roman"/>
          <w:sz w:val="24"/>
          <w:szCs w:val="24"/>
        </w:rPr>
        <w:t>[4] S. Almutairi, A. Zolotas y D. Kolovos, “Towards Round-Trip Engineering of Code Fragments Embedded in Models,” en ACM/IEEE 25th International Conference on Model Driven Engineering Languages and Systems Companion (MODELS ’22 Companion), pp. 529–538, 2022, doi: 10.1145/3550356.3561578.</w:t>
      </w:r>
    </w:p>
    <w:p w14:paraId="20DFE7B3" w14:textId="77777777" w:rsidR="00887D1B" w:rsidRPr="00384E05" w:rsidRDefault="00000000">
      <w:pPr>
        <w:spacing w:after="100"/>
        <w:ind w:left="340" w:hanging="340"/>
        <w:rPr>
          <w:rFonts w:cs="Times New Roman"/>
          <w:sz w:val="24"/>
          <w:szCs w:val="24"/>
        </w:rPr>
      </w:pPr>
      <w:r w:rsidRPr="00384E05">
        <w:rPr>
          <w:rFonts w:cs="Times New Roman"/>
          <w:sz w:val="24"/>
          <w:szCs w:val="24"/>
        </w:rPr>
        <w:lastRenderedPageBreak/>
        <w:t>[5] I. David, K. Aslam, I. Malavolta y P. Lago, “Collaborative Model-Driven Software Engineering — A systematic survey of practices and needs in industry,” Journal of Systems and Software, vol. 199, art. 111626, 2023, doi: 10.1016/j.jss.2023.111626.</w:t>
      </w:r>
    </w:p>
    <w:p w14:paraId="48C8867C" w14:textId="77777777" w:rsidR="00887D1B" w:rsidRPr="00384E05" w:rsidRDefault="00000000">
      <w:pPr>
        <w:spacing w:after="100"/>
        <w:ind w:left="340" w:hanging="340"/>
        <w:rPr>
          <w:rFonts w:cs="Times New Roman"/>
          <w:sz w:val="24"/>
          <w:szCs w:val="24"/>
        </w:rPr>
      </w:pPr>
      <w:r w:rsidRPr="00384E05">
        <w:rPr>
          <w:rFonts w:cs="Times New Roman"/>
          <w:sz w:val="24"/>
          <w:szCs w:val="24"/>
        </w:rPr>
        <w:t>[6] M. R. Krouwel, M. Op ’t Land y H. A. Proper, “From enterprise models to low-code applications: mapping DEMO to Mendix; illustrated in the social housing domain,” Software and Systems Modeling, vol. 23, pp. 837–864, 2024, doi: 10.1007/s10270-024-01156-2.</w:t>
      </w:r>
    </w:p>
    <w:p w14:paraId="4FDC0F53" w14:textId="77777777" w:rsidR="00887D1B" w:rsidRPr="00384E05" w:rsidRDefault="00000000">
      <w:pPr>
        <w:spacing w:after="100"/>
        <w:ind w:left="340" w:hanging="340"/>
        <w:rPr>
          <w:rFonts w:cs="Times New Roman"/>
          <w:sz w:val="24"/>
          <w:szCs w:val="24"/>
        </w:rPr>
      </w:pPr>
      <w:r w:rsidRPr="00384E05">
        <w:rPr>
          <w:rFonts w:cs="Times New Roman"/>
          <w:sz w:val="24"/>
          <w:szCs w:val="24"/>
        </w:rPr>
        <w:t>[7] Equipo MundiPets, “Proyecto Fin de Curso: Entrega 1B – Documento ERS/SRS Parcial,” Universidad Técnica Estatal de Quevedo, 2026.</w:t>
      </w:r>
    </w:p>
    <w:p w14:paraId="4844B98B" w14:textId="77777777" w:rsidR="00887D1B" w:rsidRPr="00384E05" w:rsidRDefault="00000000">
      <w:pPr>
        <w:spacing w:after="100"/>
        <w:ind w:left="340" w:hanging="340"/>
        <w:rPr>
          <w:rFonts w:cs="Times New Roman"/>
          <w:sz w:val="24"/>
          <w:szCs w:val="24"/>
        </w:rPr>
      </w:pPr>
      <w:r w:rsidRPr="00384E05">
        <w:rPr>
          <w:rFonts w:cs="Times New Roman"/>
          <w:sz w:val="24"/>
          <w:szCs w:val="24"/>
        </w:rPr>
        <w:t>[8] E. D. Fuertes Arraes, J. E. Viteri García y K. G. Contreras Chávez, “Práctica Experimental Unidad III – MundiPets: Modelado UML del SRS,” Universidad Técnica Estatal de Quevedo, 2026.</w:t>
      </w:r>
    </w:p>
    <w:p w14:paraId="0F8EF3E6" w14:textId="77777777" w:rsidR="00887D1B" w:rsidRPr="00384E05" w:rsidRDefault="00000000">
      <w:pPr>
        <w:spacing w:after="100"/>
        <w:ind w:left="340" w:hanging="340"/>
        <w:rPr>
          <w:rFonts w:cs="Times New Roman"/>
          <w:sz w:val="24"/>
          <w:szCs w:val="24"/>
        </w:rPr>
      </w:pPr>
      <w:r w:rsidRPr="00384E05">
        <w:rPr>
          <w:rFonts w:cs="Times New Roman"/>
          <w:sz w:val="24"/>
          <w:szCs w:val="24"/>
        </w:rPr>
        <w:t>[9] Equipo MundiPets, “Proyecto Fin de Curso: Entrega 1A – Planificación y Elicitación de Requisitos,” Universidad Técnica Estatal de Quevedo, 2026.</w:t>
      </w:r>
    </w:p>
    <w:p w14:paraId="0656193F" w14:textId="77777777" w:rsidR="009F15CB" w:rsidRDefault="009F15CB"/>
    <w:sectPr w:rsidR="009F15CB" w:rsidSect="00034616">
      <w:headerReference w:type="default" r:id="rId8"/>
      <w:footerReference w:type="default" r:id="rId9"/>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AE564" w14:textId="77777777" w:rsidR="00665268" w:rsidRDefault="00665268">
      <w:pPr>
        <w:spacing w:after="0" w:line="240" w:lineRule="auto"/>
      </w:pPr>
      <w:r>
        <w:separator/>
      </w:r>
    </w:p>
  </w:endnote>
  <w:endnote w:type="continuationSeparator" w:id="0">
    <w:p w14:paraId="49F97E96" w14:textId="77777777" w:rsidR="00665268" w:rsidRDefault="00665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A086" w14:textId="77777777" w:rsidR="00887D1B" w:rsidRDefault="00000000">
    <w:pPr>
      <w:pStyle w:val="Piedepgina"/>
      <w:jc w:val="center"/>
    </w:pPr>
    <w:r>
      <w:rPr>
        <w:rFonts w:ascii="Arial" w:hAnsi="Arial"/>
        <w:color w:val="646464"/>
        <w:sz w:val="16"/>
      </w:rPr>
      <w:t xml:space="preserve">Cedeño Avila Winston Damian – </w:t>
    </w:r>
    <w:proofErr w:type="spellStart"/>
    <w:r>
      <w:rPr>
        <w:rFonts w:ascii="Arial" w:hAnsi="Arial"/>
        <w:color w:val="646464"/>
        <w:sz w:val="16"/>
      </w:rPr>
      <w:t>Integrante</w:t>
    </w:r>
    <w:proofErr w:type="spellEnd"/>
    <w:r>
      <w:rPr>
        <w:rFonts w:ascii="Arial" w:hAnsi="Arial"/>
        <w:color w:val="646464"/>
        <w:sz w:val="16"/>
      </w:rPr>
      <w:t xml:space="preserv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12CF8" w14:textId="77777777" w:rsidR="00665268" w:rsidRDefault="00665268">
      <w:pPr>
        <w:spacing w:after="0" w:line="240" w:lineRule="auto"/>
      </w:pPr>
      <w:r>
        <w:separator/>
      </w:r>
    </w:p>
  </w:footnote>
  <w:footnote w:type="continuationSeparator" w:id="0">
    <w:p w14:paraId="53126160" w14:textId="77777777" w:rsidR="00665268" w:rsidRDefault="00665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8C3F" w14:textId="77777777" w:rsidR="00887D1B" w:rsidRDefault="00000000">
    <w:pPr>
      <w:pStyle w:val="Encabezado"/>
      <w:jc w:val="center"/>
    </w:pPr>
    <w:proofErr w:type="spellStart"/>
    <w:r>
      <w:rPr>
        <w:rFonts w:ascii="Arial" w:hAnsi="Arial"/>
        <w:color w:val="646464"/>
        <w:sz w:val="16"/>
      </w:rPr>
      <w:t>MundiPets</w:t>
    </w:r>
    <w:proofErr w:type="spellEnd"/>
    <w:r>
      <w:rPr>
        <w:rFonts w:ascii="Arial" w:hAnsi="Arial"/>
        <w:color w:val="646464"/>
        <w:sz w:val="16"/>
      </w:rPr>
      <w:t xml:space="preserve"> – </w:t>
    </w:r>
    <w:proofErr w:type="spellStart"/>
    <w:r>
      <w:rPr>
        <w:rFonts w:ascii="Arial" w:hAnsi="Arial"/>
        <w:color w:val="646464"/>
        <w:sz w:val="16"/>
      </w:rPr>
      <w:t>Exposición-demostración</w:t>
    </w:r>
    <w:proofErr w:type="spellEnd"/>
    <w:r>
      <w:rPr>
        <w:rFonts w:ascii="Arial" w:hAnsi="Arial"/>
        <w:color w:val="646464"/>
        <w:sz w:val="16"/>
      </w:rPr>
      <w:t xml:space="preserve"> MDD | </w:t>
    </w:r>
    <w:proofErr w:type="spellStart"/>
    <w:r>
      <w:rPr>
        <w:rFonts w:ascii="Arial" w:hAnsi="Arial"/>
        <w:color w:val="646464"/>
        <w:sz w:val="16"/>
      </w:rPr>
      <w:t>Borrador</w:t>
    </w:r>
    <w:proofErr w:type="spellEnd"/>
    <w:r>
      <w:rPr>
        <w:rFonts w:ascii="Arial" w:hAnsi="Arial"/>
        <w:color w:val="646464"/>
        <w:sz w:val="16"/>
      </w:rPr>
      <w:t xml:space="preserve"> individual – </w:t>
    </w:r>
    <w:proofErr w:type="spellStart"/>
    <w:r>
      <w:rPr>
        <w:rFonts w:ascii="Arial" w:hAnsi="Arial"/>
        <w:color w:val="646464"/>
        <w:sz w:val="16"/>
      </w:rPr>
      <w:t>Integrante</w:t>
    </w:r>
    <w:proofErr w:type="spellEnd"/>
    <w:r>
      <w:rPr>
        <w:rFonts w:ascii="Arial" w:hAnsi="Arial"/>
        <w:color w:val="646464"/>
        <w:sz w:val="16"/>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1633456">
    <w:abstractNumId w:val="8"/>
  </w:num>
  <w:num w:numId="2" w16cid:durableId="1395395524">
    <w:abstractNumId w:val="6"/>
  </w:num>
  <w:num w:numId="3" w16cid:durableId="1819108346">
    <w:abstractNumId w:val="5"/>
  </w:num>
  <w:num w:numId="4" w16cid:durableId="1725325506">
    <w:abstractNumId w:val="4"/>
  </w:num>
  <w:num w:numId="5" w16cid:durableId="1457875033">
    <w:abstractNumId w:val="7"/>
  </w:num>
  <w:num w:numId="6" w16cid:durableId="76445427">
    <w:abstractNumId w:val="3"/>
  </w:num>
  <w:num w:numId="7" w16cid:durableId="383136873">
    <w:abstractNumId w:val="2"/>
  </w:num>
  <w:num w:numId="8" w16cid:durableId="925311806">
    <w:abstractNumId w:val="1"/>
  </w:num>
  <w:num w:numId="9" w16cid:durableId="9139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808"/>
    <w:rsid w:val="0015074B"/>
    <w:rsid w:val="0029639D"/>
    <w:rsid w:val="00326F90"/>
    <w:rsid w:val="00384E05"/>
    <w:rsid w:val="00665268"/>
    <w:rsid w:val="00887D1B"/>
    <w:rsid w:val="009F15CB"/>
    <w:rsid w:val="00AA1D8D"/>
    <w:rsid w:val="00B47730"/>
    <w:rsid w:val="00BF2482"/>
    <w:rsid w:val="00C14A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208B2"/>
  <w14:defaultImageDpi w14:val="300"/>
  <w15:docId w15:val="{99F1789B-A56C-4F91-BC14-31A169D97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jc w:val="both"/>
    </w:pPr>
    <w:rPr>
      <w:rFonts w:ascii="Times New Roman" w:hAnsi="Times New Roman"/>
      <w:sz w:val="21"/>
    </w:rPr>
  </w:style>
  <w:style w:type="paragraph" w:styleId="Ttulo1">
    <w:name w:val="heading 1"/>
    <w:basedOn w:val="Normal"/>
    <w:next w:val="Normal"/>
    <w:link w:val="Ttulo1Car"/>
    <w:uiPriority w:val="9"/>
    <w:qFormat/>
    <w:rsid w:val="00FC693F"/>
    <w:pPr>
      <w:keepNext/>
      <w:keepLines/>
      <w:spacing w:before="160" w:after="10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160" w:after="100"/>
      <w:outlineLvl w:val="1"/>
    </w:pPr>
    <w:rPr>
      <w:rFonts w:asciiTheme="majorHAnsi" w:eastAsiaTheme="majorEastAsia" w:hAnsiTheme="majorHAnsi" w:cstheme="majorBidi"/>
      <w:b/>
      <w:bCs/>
      <w:color w:val="1F4E79"/>
      <w:sz w:val="24"/>
      <w:szCs w:val="26"/>
    </w:rPr>
  </w:style>
  <w:style w:type="paragraph" w:styleId="Ttulo3">
    <w:name w:val="heading 3"/>
    <w:basedOn w:val="Normal"/>
    <w:next w:val="Normal"/>
    <w:link w:val="Ttulo3Car"/>
    <w:uiPriority w:val="9"/>
    <w:unhideWhenUsed/>
    <w:qFormat/>
    <w:rsid w:val="00FC693F"/>
    <w:pPr>
      <w:keepNext/>
      <w:keepLines/>
      <w:spacing w:before="160" w:after="100"/>
      <w:outlineLvl w:val="2"/>
    </w:pPr>
    <w:rPr>
      <w:rFonts w:asciiTheme="majorHAnsi" w:eastAsiaTheme="majorEastAsia" w:hAnsiTheme="majorHAnsi" w:cstheme="majorBidi"/>
      <w:b/>
      <w:bCs/>
      <w:color w:val="2F5597"/>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7365D"/>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atcnica">
    <w:name w:val="Nota técnica"/>
    <w:rPr>
      <w:rFonts w:ascii="Arial" w:hAnsi="Arial"/>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2754</Words>
  <Characters>15152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Borrador Integrante 2 – MDD MundiPets</dc:title>
  <dc:subject>Marco teórico, subsistema, conclusiones y estructura de repositorio</dc:subject>
  <dc:creator>Cedeño Avila Winston Damian</dc:creator>
  <cp:keywords/>
  <dc:description>generated by python-docx</dc:description>
  <cp:lastModifiedBy>WUISTON DAMIAN CEDEÑO AVILA</cp:lastModifiedBy>
  <cp:revision>2</cp:revision>
  <dcterms:created xsi:type="dcterms:W3CDTF">2026-07-15T18:31:00Z</dcterms:created>
  <dcterms:modified xsi:type="dcterms:W3CDTF">2026-07-15T18:31:00Z</dcterms:modified>
  <cp:category/>
</cp:coreProperties>
</file>