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2AC2D" w14:textId="77777777" w:rsidR="009A5BE7" w:rsidRDefault="006C0485" w:rsidP="00834D20">
      <w:pPr>
        <w:ind w:left="360"/>
      </w:pPr>
      <w:r>
        <w:t>Probability</w:t>
      </w:r>
    </w:p>
    <w:p w14:paraId="55142A37" w14:textId="77777777" w:rsidR="006C0485" w:rsidRDefault="006C0485" w:rsidP="00834D20"/>
    <w:p w14:paraId="01A46117" w14:textId="77777777" w:rsidR="006C0485" w:rsidRDefault="006C0485" w:rsidP="00834D20"/>
    <w:p w14:paraId="1A2D726B" w14:textId="77777777" w:rsidR="006C0485" w:rsidRDefault="006C0485" w:rsidP="00834D20">
      <w:pPr>
        <w:ind w:left="360"/>
      </w:pPr>
      <w:r>
        <w:t>All independent events:</w:t>
      </w:r>
    </w:p>
    <w:p w14:paraId="5C8B3C27" w14:textId="77777777" w:rsidR="006C0485" w:rsidRDefault="006C0485" w:rsidP="00834D20">
      <w:pPr>
        <w:ind w:left="360"/>
      </w:pPr>
      <w:proofErr w:type="gramStart"/>
      <w:r>
        <w:t>P(</w:t>
      </w:r>
      <w:proofErr w:type="gramEnd"/>
      <w:r>
        <w:t>H)+P(~H)=1</w:t>
      </w:r>
    </w:p>
    <w:p w14:paraId="648F7BDF" w14:textId="77777777" w:rsidR="006C0485" w:rsidRDefault="006C0485" w:rsidP="00834D20">
      <w:pPr>
        <w:ind w:left="360"/>
      </w:pPr>
      <w:proofErr w:type="gramStart"/>
      <w:r>
        <w:t>P(</w:t>
      </w:r>
      <w:proofErr w:type="gramEnd"/>
      <w:r>
        <w:t>H,H)= P(H).P(H)</w:t>
      </w:r>
    </w:p>
    <w:p w14:paraId="6F8FF81E" w14:textId="77777777" w:rsidR="005216D7" w:rsidRDefault="005216D7" w:rsidP="00834D20"/>
    <w:p w14:paraId="012E9C80" w14:textId="77777777" w:rsidR="005216D7" w:rsidRDefault="005216D7" w:rsidP="00834D20">
      <w:pPr>
        <w:ind w:left="360"/>
      </w:pPr>
      <w:r>
        <w:t xml:space="preserve">Another method to find probability is to map </w:t>
      </w:r>
      <w:r w:rsidRPr="00834D20">
        <w:rPr>
          <w:b/>
        </w:rPr>
        <w:t>Truth Table</w:t>
      </w:r>
      <w:r>
        <w:t xml:space="preserve">. </w:t>
      </w:r>
    </w:p>
    <w:p w14:paraId="743688E1" w14:textId="0843CF18" w:rsidR="005216D7" w:rsidRDefault="005216D7" w:rsidP="00834D20">
      <w:pPr>
        <w:ind w:left="360"/>
      </w:pPr>
      <w:r>
        <w:t xml:space="preserve">List out all possibilities likely to occur and then find </w:t>
      </w:r>
      <w:proofErr w:type="gramStart"/>
      <w:r>
        <w:t xml:space="preserve">probability </w:t>
      </w:r>
      <w:r w:rsidR="001121EE">
        <w:t>.</w:t>
      </w:r>
      <w:proofErr w:type="gramEnd"/>
    </w:p>
    <w:p w14:paraId="6335211A" w14:textId="2C6C8DBB" w:rsidR="001121EE" w:rsidRDefault="001121EE" w:rsidP="00834D20">
      <w:pPr>
        <w:ind w:left="360"/>
      </w:pPr>
      <w:r>
        <w:t>Always check for fairness of event.</w:t>
      </w:r>
    </w:p>
    <w:p w14:paraId="2EB12225" w14:textId="77777777" w:rsidR="00B54137" w:rsidRDefault="00B54137" w:rsidP="00834D20"/>
    <w:p w14:paraId="5C77B217" w14:textId="7C78A4D7" w:rsidR="00B54137" w:rsidRDefault="008D0E0C" w:rsidP="00834D20">
      <w:pPr>
        <w:ind w:left="360"/>
      </w:pPr>
      <w:r>
        <w:t>Exa</w:t>
      </w:r>
      <w:r w:rsidR="00B54137">
        <w:t>mples of</w:t>
      </w:r>
      <w:r>
        <w:t xml:space="preserve"> computing probability of</w:t>
      </w:r>
      <w:r w:rsidR="00B54137">
        <w:t xml:space="preserve"> </w:t>
      </w:r>
      <w:r w:rsidR="005C5454">
        <w:t>with and without loading</w:t>
      </w:r>
      <w:r w:rsidR="00B54137">
        <w:t>:</w:t>
      </w:r>
    </w:p>
    <w:p w14:paraId="266117A6" w14:textId="34AD6E99" w:rsidR="00B54137" w:rsidRDefault="00B54137" w:rsidP="00834D20">
      <w:pPr>
        <w:ind w:left="360"/>
      </w:pPr>
      <w:r>
        <w:t xml:space="preserve">Coin Flip </w:t>
      </w:r>
    </w:p>
    <w:p w14:paraId="3DAF45A6" w14:textId="3B58D453" w:rsidR="00B54137" w:rsidRDefault="00B54137" w:rsidP="00834D20">
      <w:pPr>
        <w:ind w:left="360"/>
      </w:pPr>
      <w:r>
        <w:t xml:space="preserve">Two coin flips </w:t>
      </w:r>
    </w:p>
    <w:p w14:paraId="5F4F1731" w14:textId="34AD7B28" w:rsidR="00B54137" w:rsidRDefault="008D0E0C" w:rsidP="00834D20">
      <w:pPr>
        <w:ind w:left="360"/>
      </w:pPr>
      <w:r>
        <w:t>Opposite events</w:t>
      </w:r>
    </w:p>
    <w:p w14:paraId="594B3141" w14:textId="7E5A80A0" w:rsidR="008D0E0C" w:rsidRDefault="008D0E0C" w:rsidP="00834D20">
      <w:pPr>
        <w:ind w:left="360"/>
      </w:pPr>
      <w:r>
        <w:t>Truth table values</w:t>
      </w:r>
    </w:p>
    <w:p w14:paraId="6E7CD022" w14:textId="169A3F84" w:rsidR="002C638A" w:rsidRDefault="002C638A" w:rsidP="00834D20">
      <w:pPr>
        <w:ind w:left="360"/>
      </w:pPr>
      <w:r>
        <w:t>Exactly One head of one flip, two flips, three flips</w:t>
      </w:r>
    </w:p>
    <w:p w14:paraId="414CC3DE" w14:textId="437C17F8" w:rsidR="00153339" w:rsidRDefault="00153339" w:rsidP="00834D20">
      <w:pPr>
        <w:ind w:left="360"/>
      </w:pPr>
      <w:r>
        <w:t>Fair die</w:t>
      </w:r>
    </w:p>
    <w:p w14:paraId="3903024D" w14:textId="77777777" w:rsidR="00153339" w:rsidRDefault="00153339" w:rsidP="00834D20"/>
    <w:p w14:paraId="0AB05053" w14:textId="77777777" w:rsidR="00153339" w:rsidRDefault="00153339" w:rsidP="00834D20"/>
    <w:p w14:paraId="290641B7" w14:textId="45A5B6BB" w:rsidR="00153339" w:rsidRDefault="00153339" w:rsidP="00834D20">
      <w:pPr>
        <w:ind w:left="360"/>
      </w:pPr>
      <w:r>
        <w:t>Summary:</w:t>
      </w:r>
    </w:p>
    <w:p w14:paraId="7013E0D8" w14:textId="62BCB9D0" w:rsidR="00153339" w:rsidRDefault="00153339" w:rsidP="00834D20">
      <w:pPr>
        <w:ind w:left="360"/>
      </w:pPr>
      <w:r>
        <w:t>Probability of event = P</w:t>
      </w:r>
    </w:p>
    <w:p w14:paraId="3C8F5BAC" w14:textId="22C27DFE" w:rsidR="00153339" w:rsidRDefault="00153339" w:rsidP="00834D20">
      <w:pPr>
        <w:ind w:left="360"/>
      </w:pPr>
      <w:r>
        <w:t>Probability of opposite event = 1-P</w:t>
      </w:r>
    </w:p>
    <w:p w14:paraId="353894D2" w14:textId="00A50FF1" w:rsidR="00153339" w:rsidRDefault="00153339" w:rsidP="00834D20">
      <w:pPr>
        <w:ind w:left="360"/>
      </w:pPr>
      <w:r>
        <w:t xml:space="preserve">Probability of </w:t>
      </w:r>
      <w:r>
        <w:t>composite event = P.P.P…</w:t>
      </w:r>
      <w:proofErr w:type="gramStart"/>
      <w:r>
        <w:t>.P.P</w:t>
      </w:r>
      <w:proofErr w:type="gramEnd"/>
      <w:r>
        <w:t xml:space="preserve"> </w:t>
      </w:r>
      <w:r>
        <w:sym w:font="Wingdings" w:char="F0E0"/>
      </w:r>
      <w:r>
        <w:t xml:space="preserve"> Rule applies only for independent events</w:t>
      </w:r>
    </w:p>
    <w:p w14:paraId="7096FE28" w14:textId="77777777" w:rsidR="004E1428" w:rsidRDefault="004E1428" w:rsidP="00834D20"/>
    <w:p w14:paraId="1EC1AAD0" w14:textId="77777777" w:rsidR="004E1428" w:rsidRPr="00834D20" w:rsidRDefault="004E1428" w:rsidP="00834D20">
      <w:pPr>
        <w:widowControl w:val="0"/>
        <w:autoSpaceDE w:val="0"/>
        <w:autoSpaceDN w:val="0"/>
        <w:adjustRightInd w:val="0"/>
        <w:ind w:left="360"/>
        <w:rPr>
          <w:rFonts w:ascii="OpenSans-SemiBold" w:hAnsi="OpenSans-SemiBold" w:cs="OpenSans-SemiBold"/>
          <w:b/>
          <w:bCs/>
          <w:color w:val="232E39"/>
          <w:sz w:val="36"/>
          <w:szCs w:val="36"/>
        </w:rPr>
      </w:pPr>
      <w:r w:rsidRPr="00834D20">
        <w:rPr>
          <w:rFonts w:ascii="OpenSans-SemiBold" w:hAnsi="OpenSans-SemiBold" w:cs="OpenSans-SemiBold"/>
          <w:b/>
          <w:bCs/>
          <w:color w:val="232E39"/>
          <w:sz w:val="36"/>
          <w:szCs w:val="36"/>
        </w:rPr>
        <w:t>Probability</w:t>
      </w:r>
    </w:p>
    <w:p w14:paraId="06C2BD5D" w14:textId="77777777" w:rsidR="004E1428" w:rsidRPr="00834D20" w:rsidRDefault="004E1428" w:rsidP="00834D20">
      <w:pPr>
        <w:widowControl w:val="0"/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 w:rsidRPr="00834D20">
        <w:rPr>
          <w:rFonts w:ascii="OpenSans-Regular" w:hAnsi="OpenSans-Regular" w:cs="OpenSans-Regular"/>
          <w:color w:val="3E3E3E"/>
          <w:sz w:val="28"/>
          <w:szCs w:val="28"/>
        </w:rPr>
        <w:t xml:space="preserve">Here you learned some fundamental rules of probability. Using notation, we could say that the outcome of a coin flip could either be </w:t>
      </w:r>
      <w:r w:rsidRPr="00834D20">
        <w:rPr>
          <w:rFonts w:ascii="OpenSans-Bold" w:hAnsi="OpenSans-Bold" w:cs="OpenSans-Bold"/>
          <w:b/>
          <w:bCs/>
          <w:color w:val="3E3E3E"/>
          <w:sz w:val="28"/>
          <w:szCs w:val="28"/>
        </w:rPr>
        <w:t>T</w:t>
      </w:r>
      <w:r w:rsidRPr="00834D20">
        <w:rPr>
          <w:rFonts w:ascii="OpenSans-Regular" w:hAnsi="OpenSans-Regular" w:cs="OpenSans-Regular"/>
          <w:color w:val="3E3E3E"/>
          <w:sz w:val="28"/>
          <w:szCs w:val="28"/>
        </w:rPr>
        <w:t xml:space="preserve"> or </w:t>
      </w:r>
      <w:r w:rsidRPr="00834D20">
        <w:rPr>
          <w:rFonts w:ascii="OpenSans-Bold" w:hAnsi="OpenSans-Bold" w:cs="OpenSans-Bold"/>
          <w:b/>
          <w:bCs/>
          <w:color w:val="3E3E3E"/>
          <w:sz w:val="28"/>
          <w:szCs w:val="28"/>
        </w:rPr>
        <w:t>H</w:t>
      </w:r>
      <w:r w:rsidRPr="00834D20">
        <w:rPr>
          <w:rFonts w:ascii="OpenSans-Regular" w:hAnsi="OpenSans-Regular" w:cs="OpenSans-Regular"/>
          <w:color w:val="3E3E3E"/>
          <w:sz w:val="28"/>
          <w:szCs w:val="28"/>
        </w:rPr>
        <w:t xml:space="preserve"> for the event that the coin flips tails or heads, respectively.</w:t>
      </w:r>
    </w:p>
    <w:p w14:paraId="77E75D6B" w14:textId="77777777" w:rsidR="004E1428" w:rsidRPr="00834D20" w:rsidRDefault="004E1428" w:rsidP="00834D20">
      <w:pPr>
        <w:widowControl w:val="0"/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 w:rsidRPr="00834D20">
        <w:rPr>
          <w:rFonts w:ascii="OpenSans-Regular" w:hAnsi="OpenSans-Regular" w:cs="OpenSans-Regular"/>
          <w:color w:val="3E3E3E"/>
          <w:sz w:val="28"/>
          <w:szCs w:val="28"/>
        </w:rPr>
        <w:t>Then the following rules are true:</w:t>
      </w:r>
    </w:p>
    <w:p w14:paraId="01F7BA66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proofErr w:type="gramStart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proofErr w:type="gramEnd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H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)=0.5</w:t>
      </w:r>
    </w:p>
    <w:p w14:paraId="17B69D85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</w:p>
    <w:p w14:paraId="53C5AF37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1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−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H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</w:t>
      </w:r>
      <w:proofErr w:type="gramStart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proofErr w:type="gramEnd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not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 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H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)=0.5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</w:t>
      </w:r>
    </w:p>
    <w:p w14:paraId="61DFAECA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proofErr w:type="gramStart"/>
      <w:r>
        <w:rPr>
          <w:rFonts w:ascii="OpenSans-Regular" w:hAnsi="OpenSans-Regular" w:cs="OpenSans-Regular"/>
          <w:color w:val="3E3E3E"/>
          <w:sz w:val="28"/>
          <w:szCs w:val="28"/>
        </w:rPr>
        <w:t>where</w:t>
      </w:r>
      <w:proofErr w:type="gramEnd"/>
      <w:r>
        <w:rPr>
          <w:rFonts w:ascii="OpenSans-Regular" w:hAnsi="OpenSans-Regular" w:cs="OpenSans-Regular"/>
          <w:color w:val="3E3E3E"/>
          <w:sz w:val="28"/>
          <w:szCs w:val="28"/>
        </w:rPr>
        <w:t xml:space="preserve"> 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not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 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H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is the event of anything other than heads. Since, there are only two possible outcomes, we have that </w:t>
      </w:r>
      <w:proofErr w:type="gramStart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proofErr w:type="gramEnd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not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 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H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T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)=0.5.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In later concepts, you will see this with the following notation: </w:t>
      </w:r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¬H</w:t>
      </w:r>
      <w:r>
        <w:rPr>
          <w:rFonts w:ascii="OpenSans-Regular" w:hAnsi="OpenSans-Regular" w:cs="OpenSans-Regular"/>
          <w:color w:val="3E3E3E"/>
          <w:sz w:val="28"/>
          <w:szCs w:val="28"/>
        </w:rPr>
        <w:t>.</w:t>
      </w:r>
    </w:p>
    <w:p w14:paraId="5D41651B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</w:p>
    <w:p w14:paraId="30D0A1F7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 xml:space="preserve">Across multiple coin flips, we have the probability of seeing </w:t>
      </w:r>
      <w:r>
        <w:rPr>
          <w:rFonts w:ascii="OpenSans-Bold" w:hAnsi="OpenSans-Bold" w:cs="OpenSans-Bold"/>
          <w:b/>
          <w:bCs/>
          <w:color w:val="3E3E3E"/>
          <w:sz w:val="28"/>
          <w:szCs w:val="28"/>
        </w:rPr>
        <w:t>n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heads as </w:t>
      </w:r>
      <w:proofErr w:type="gramStart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P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(</w:t>
      </w:r>
      <w:proofErr w:type="gramEnd"/>
      <w:r>
        <w:rPr>
          <w:rFonts w:ascii="KaTeX_Main-Bold" w:hAnsi="KaTeX_Main-Bold" w:cs="KaTeX_Main-Bold"/>
          <w:b/>
          <w:bCs/>
          <w:color w:val="3E3E3E"/>
          <w:sz w:val="34"/>
          <w:szCs w:val="34"/>
        </w:rPr>
        <w:t>H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)</w:t>
      </w:r>
      <w:r>
        <w:rPr>
          <w:rFonts w:ascii="KaTeX_Main-Regular" w:hAnsi="KaTeX_Main-Regular" w:cs="KaTeX_Main-Regular"/>
          <w:color w:val="3E3E3E"/>
        </w:rPr>
        <w:t xml:space="preserve"> </w:t>
      </w:r>
      <w:r>
        <w:rPr>
          <w:rFonts w:ascii="KaTeX_Main-Bold" w:hAnsi="KaTeX_Main-Bold" w:cs="KaTeX_Main-Bold"/>
          <w:b/>
          <w:bCs/>
          <w:color w:val="3E3E3E"/>
        </w:rPr>
        <w:t>n</w:t>
      </w:r>
      <w:r>
        <w:rPr>
          <w:rFonts w:ascii="KaTeX_Main-Regular" w:hAnsi="KaTeX_Main-Regular" w:cs="KaTeX_Main-Regular"/>
          <w:color w:val="3E3E3E"/>
          <w:sz w:val="34"/>
          <w:szCs w:val="34"/>
        </w:rPr>
        <w:t> </w:t>
      </w:r>
      <w:r>
        <w:rPr>
          <w:rFonts w:ascii="OpenSans-Regular" w:hAnsi="OpenSans-Regular" w:cs="OpenSans-Regular"/>
          <w:color w:val="3E3E3E"/>
          <w:sz w:val="28"/>
          <w:szCs w:val="28"/>
        </w:rPr>
        <w:t>. This is because these events are independent.</w:t>
      </w:r>
    </w:p>
    <w:p w14:paraId="4EE23C73" w14:textId="77777777" w:rsidR="004E1428" w:rsidRPr="00834D20" w:rsidRDefault="004E1428" w:rsidP="00834D20">
      <w:pPr>
        <w:widowControl w:val="0"/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 w:rsidRPr="00834D20">
        <w:rPr>
          <w:rFonts w:ascii="OpenSans-Regular" w:hAnsi="OpenSans-Regular" w:cs="OpenSans-Regular"/>
          <w:color w:val="3E3E3E"/>
          <w:sz w:val="28"/>
          <w:szCs w:val="28"/>
        </w:rPr>
        <w:lastRenderedPageBreak/>
        <w:t>We can get two generic rules from this:</w:t>
      </w:r>
    </w:p>
    <w:p w14:paraId="5835D8B3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The probability of any event must be between 0 and 1, inclusive.</w:t>
      </w:r>
    </w:p>
    <w:p w14:paraId="24C72B76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</w:p>
    <w:p w14:paraId="07DB1EF1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>The probability of the compliment event is 1 minus the probability of an event. That is the probability of all other possible events is 1 minus the probability an event itself. Therefore, the sum of all possible events is equal to 1.</w:t>
      </w:r>
    </w:p>
    <w:p w14:paraId="7C3ECB8E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</w:p>
    <w:p w14:paraId="1013F5C8" w14:textId="77777777" w:rsidR="004E1428" w:rsidRDefault="004E1428" w:rsidP="00834D2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OpenSans-Regular" w:hAnsi="OpenSans-Regular" w:cs="OpenSans-Regular"/>
          <w:color w:val="3E3E3E"/>
          <w:sz w:val="28"/>
          <w:szCs w:val="28"/>
        </w:rPr>
      </w:pPr>
      <w:r>
        <w:rPr>
          <w:rFonts w:ascii="OpenSans-Regular" w:hAnsi="OpenSans-Regular" w:cs="OpenSans-Regular"/>
          <w:color w:val="3E3E3E"/>
          <w:sz w:val="28"/>
          <w:szCs w:val="28"/>
        </w:rPr>
        <w:t xml:space="preserve">If our events are independent, then the probability of the string of possible events is the product of those events. That is the probability of one event </w:t>
      </w:r>
      <w:r>
        <w:rPr>
          <w:rFonts w:ascii="OpenSans-Bold" w:hAnsi="OpenSans-Bold" w:cs="OpenSans-Bold"/>
          <w:b/>
          <w:bCs/>
          <w:color w:val="3E3E3E"/>
          <w:sz w:val="28"/>
          <w:szCs w:val="28"/>
        </w:rPr>
        <w:t>AND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the next </w:t>
      </w:r>
      <w:r>
        <w:rPr>
          <w:rFonts w:ascii="OpenSans-Bold" w:hAnsi="OpenSans-Bold" w:cs="OpenSans-Bold"/>
          <w:b/>
          <w:bCs/>
          <w:color w:val="3E3E3E"/>
          <w:sz w:val="28"/>
          <w:szCs w:val="28"/>
        </w:rPr>
        <w:t>AND</w:t>
      </w:r>
      <w:r>
        <w:rPr>
          <w:rFonts w:ascii="OpenSans-Regular" w:hAnsi="OpenSans-Regular" w:cs="OpenSans-Regular"/>
          <w:color w:val="3E3E3E"/>
          <w:sz w:val="28"/>
          <w:szCs w:val="28"/>
        </w:rPr>
        <w:t xml:space="preserve"> the next event, is the product of those events.</w:t>
      </w:r>
    </w:p>
    <w:p w14:paraId="68C8C269" w14:textId="77777777" w:rsidR="004E1428" w:rsidRPr="00834D20" w:rsidRDefault="004E1428" w:rsidP="00834D20">
      <w:pPr>
        <w:widowControl w:val="0"/>
        <w:autoSpaceDE w:val="0"/>
        <w:autoSpaceDN w:val="0"/>
        <w:adjustRightInd w:val="0"/>
        <w:ind w:left="360"/>
        <w:rPr>
          <w:rFonts w:ascii="OpenSans-SemiBold" w:hAnsi="OpenSans-SemiBold" w:cs="OpenSans-SemiBold"/>
          <w:b/>
          <w:bCs/>
          <w:color w:val="232E39"/>
          <w:sz w:val="36"/>
          <w:szCs w:val="36"/>
        </w:rPr>
      </w:pPr>
      <w:r w:rsidRPr="00834D20">
        <w:rPr>
          <w:rFonts w:ascii="OpenSans-SemiBold" w:hAnsi="OpenSans-SemiBold" w:cs="OpenSans-SemiBold"/>
          <w:b/>
          <w:bCs/>
          <w:color w:val="232E39"/>
          <w:sz w:val="36"/>
          <w:szCs w:val="36"/>
        </w:rPr>
        <w:t>Looking Ahead</w:t>
      </w:r>
    </w:p>
    <w:p w14:paraId="6BA12EA1" w14:textId="78D71E4B" w:rsidR="004E1428" w:rsidRDefault="004E1428" w:rsidP="00834D20">
      <w:pPr>
        <w:ind w:left="360"/>
      </w:pPr>
      <w:r w:rsidRPr="00834D20">
        <w:rPr>
          <w:rFonts w:ascii="OpenSans-Regular" w:hAnsi="OpenSans-Regular" w:cs="OpenSans-Regular"/>
          <w:color w:val="3E3E3E"/>
          <w:sz w:val="28"/>
          <w:szCs w:val="28"/>
        </w:rPr>
        <w:t xml:space="preserve">You will be working with the </w:t>
      </w:r>
      <w:r w:rsidRPr="00834D20">
        <w:rPr>
          <w:rFonts w:ascii="OpenSans-Bold" w:hAnsi="OpenSans-Bold" w:cs="OpenSans-Bold"/>
          <w:b/>
          <w:bCs/>
          <w:color w:val="3E3E3E"/>
          <w:sz w:val="28"/>
          <w:szCs w:val="28"/>
        </w:rPr>
        <w:t>Binomial Distribution</w:t>
      </w:r>
      <w:r w:rsidRPr="00834D20">
        <w:rPr>
          <w:rFonts w:ascii="OpenSans-Regular" w:hAnsi="OpenSans-Regular" w:cs="OpenSans-Regular"/>
          <w:color w:val="3E3E3E"/>
          <w:sz w:val="28"/>
          <w:szCs w:val="28"/>
        </w:rPr>
        <w:t xml:space="preserve">, which creates a function for </w:t>
      </w:r>
      <w:proofErr w:type="gramStart"/>
      <w:r w:rsidRPr="00834D20">
        <w:rPr>
          <w:rFonts w:ascii="OpenSans-Regular" w:hAnsi="OpenSans-Regular" w:cs="OpenSans-Regular"/>
          <w:color w:val="3E3E3E"/>
          <w:sz w:val="28"/>
          <w:szCs w:val="28"/>
        </w:rPr>
        <w:t>working with coin flip</w:t>
      </w:r>
      <w:proofErr w:type="gramEnd"/>
      <w:r w:rsidRPr="00834D20">
        <w:rPr>
          <w:rFonts w:ascii="OpenSans-Regular" w:hAnsi="OpenSans-Regular" w:cs="OpenSans-Regular"/>
          <w:color w:val="3E3E3E"/>
          <w:sz w:val="28"/>
          <w:szCs w:val="28"/>
        </w:rPr>
        <w:t xml:space="preserve"> events like the first events in this lesson. These events are independent, and the above rules will hold.</w:t>
      </w:r>
    </w:p>
    <w:p w14:paraId="65D964BC" w14:textId="77777777" w:rsidR="00153339" w:rsidRDefault="00153339" w:rsidP="00834D20"/>
    <w:sectPr w:rsidR="00153339" w:rsidSect="009A5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1CAFD" w14:textId="77777777" w:rsidR="00A1330C" w:rsidRDefault="00A1330C" w:rsidP="00A1330C">
      <w:r>
        <w:separator/>
      </w:r>
    </w:p>
  </w:endnote>
  <w:endnote w:type="continuationSeparator" w:id="0">
    <w:p w14:paraId="6CB2B4C5" w14:textId="77777777" w:rsidR="00A1330C" w:rsidRDefault="00A1330C" w:rsidP="00A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in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i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EC6F4" w14:textId="77777777" w:rsidR="00A1330C" w:rsidRDefault="00A1330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B3FA7" w14:textId="77777777" w:rsidR="00A1330C" w:rsidRDefault="00A1330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51E01" w14:textId="77777777" w:rsidR="00A1330C" w:rsidRDefault="00A1330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CF6205" w14:textId="77777777" w:rsidR="00A1330C" w:rsidRDefault="00A1330C" w:rsidP="00A1330C">
      <w:r>
        <w:separator/>
      </w:r>
    </w:p>
  </w:footnote>
  <w:footnote w:type="continuationSeparator" w:id="0">
    <w:p w14:paraId="072BC05B" w14:textId="77777777" w:rsidR="00A1330C" w:rsidRDefault="00A1330C" w:rsidP="00A133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2C34C" w14:textId="77777777" w:rsidR="00A1330C" w:rsidRDefault="00A1330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13363" w14:textId="2FACF9C3" w:rsidR="00A1330C" w:rsidRDefault="00A1330C">
    <w:pPr>
      <w:pStyle w:val="Header"/>
    </w:pPr>
    <w:r>
      <w:t>PROBABILITY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EE4BB" w14:textId="77777777" w:rsidR="00A1330C" w:rsidRDefault="00A1330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3B6633"/>
    <w:multiLevelType w:val="hybridMultilevel"/>
    <w:tmpl w:val="1A42B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85"/>
    <w:rsid w:val="001121EE"/>
    <w:rsid w:val="00153339"/>
    <w:rsid w:val="002C638A"/>
    <w:rsid w:val="004E1428"/>
    <w:rsid w:val="005216D7"/>
    <w:rsid w:val="005C5454"/>
    <w:rsid w:val="006C0485"/>
    <w:rsid w:val="00834D20"/>
    <w:rsid w:val="008D0E0C"/>
    <w:rsid w:val="009A5BE7"/>
    <w:rsid w:val="00A1330C"/>
    <w:rsid w:val="00B5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4D83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0C"/>
  </w:style>
  <w:style w:type="paragraph" w:styleId="Footer">
    <w:name w:val="footer"/>
    <w:basedOn w:val="Normal"/>
    <w:link w:val="FooterChar"/>
    <w:uiPriority w:val="99"/>
    <w:unhideWhenUsed/>
    <w:rsid w:val="00A133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0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D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33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30C"/>
  </w:style>
  <w:style w:type="paragraph" w:styleId="Footer">
    <w:name w:val="footer"/>
    <w:basedOn w:val="Normal"/>
    <w:link w:val="FooterChar"/>
    <w:uiPriority w:val="99"/>
    <w:unhideWhenUsed/>
    <w:rsid w:val="00A133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1687</Characters>
  <Application>Microsoft Macintosh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Nirupama</dc:creator>
  <cp:keywords/>
  <dc:description/>
  <cp:lastModifiedBy>Nirupama</cp:lastModifiedBy>
  <cp:revision>11</cp:revision>
  <dcterms:created xsi:type="dcterms:W3CDTF">2017-11-18T14:13:00Z</dcterms:created>
  <dcterms:modified xsi:type="dcterms:W3CDTF">2017-11-18T14:30:00Z</dcterms:modified>
</cp:coreProperties>
</file>