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80"/>
        <w:jc w:val="center"/>
      </w:pPr>
      <w:r>
        <w:rPr>
          <w:rFonts w:ascii="Arial" w:eastAsia="Microsoft YaHei" w:hAnsi="Arial"/>
          <w:b/>
          <w:bCs/>
          <w:color w:val="1A1759"/>
          <w:sz w:val="36"/>
          <w:szCs w:val="36"/>
        </w:rPr>
        <w:t xml:space="preserve">Prospector — AI 原生货代客户开发工具</w:t>
      </w:r>
    </w:p>
    <w:p>
      <w:pPr>
        <w:spacing w:after="80"/>
        <w:jc w:val="center"/>
      </w:pPr>
      <w:r>
        <w:rPr>
          <w:rFonts w:ascii="Arial" w:eastAsia="Microsoft YaHei" w:hAnsi="Arial"/>
          <w:color w:val="71717A"/>
          <w:sz w:val="20"/>
          <w:szCs w:val="20"/>
        </w:rPr>
        <w:t xml:space="preserve">AI 创新大赛答辩稿  |  v5.3.0  |  2026-09-08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4B3FE3"/>
          <w:sz w:val="20"/>
          <w:szCs w:val="20"/>
        </w:rPr>
        <w:t xml:space="preserve">国际货代 / 外贸销售 AI 工作台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759"/>
          <w:sz w:val="30"/>
          <w:szCs w:val="30"/>
        </w:rPr>
        <w:t xml:space="preserve">一、产品形态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Prospector 是一款面向国际货代/外贸销售人员的 AI 原生桌面应用（Electron + React + TypeScript），版本 v5.3.0。产品定位是货代销售的"一站式 AI 客户开发工作台"，将七大功能整合到一个桌面应用中。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功能模块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1759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1759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客户库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联系人/公司管理，批量导入，标签分类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 邮件撰写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基于客户背景生成 EN/ES/PT 个性化冷邮件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公司背调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通过 Exa/Tavily 获取行业、进口活动、适配点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批量发送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多账号轮换、熔断器、时间窗口、日配额管理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收件箱管理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IMAP 拉取 + 自动分类（询盘/回复/退信/自动回复）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CRM 管线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看板视图、到期提醒、活动时间线、静默逾期标记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运价看板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局域网运价同步 → 本地镜像 → 离线查询</w:t>
            </w:r>
          </w:p>
        </w:tc>
      </w:tr>
    </w:tbl>
    <w:p>
      <w:pPr>
        <w:spacing w:before="160"/>
      </w:pPr>
    </w:p>
    <w:p>
      <w:pPr>
        <w:spacing w:after="120" w:before="0"/>
        <w:jc w:val="left"/>
      </w:pPr>
      <w:r>
        <w:rPr>
          <w:rFonts w:ascii="Arial" w:eastAsia="Microsoft YaHei" w:hAnsi="Arial"/>
          <w:b/>
          <w:bCs/>
          <w:color w:val="1A1759"/>
          <w:sz w:val="22"/>
          <w:szCs w:val="22"/>
        </w:rPr>
        <w:t xml:space="preserve">核心特征：桌面端形态（Windows NSIS 安装包），本地 SQLite 存储，数据不上云（除配置的模型端点和搜索服务外）。AI Agent 贯穿全流程——20 个工具覆盖读/写/生成/搜索全链路，所有写操作需用户审批。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759"/>
          <w:sz w:val="30"/>
          <w:szCs w:val="30"/>
        </w:rPr>
        <w:t xml:space="preserve">二、工作流架构图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系统采用五层垂直结构（紫色品牌节点为 Agent Harness 智能核心）：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五层架构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color w:val="1A1759"/>
          <w:sz w:val="22"/>
          <w:szCs w:val="22"/>
        </w:rPr>
        <w:t xml:space="preserve">用户输入 → 前端 React 页面</w:t>
      </w:r>
      <w:r>
        <w:rPr>
          <w:rFonts w:ascii="Arial" w:eastAsia="Microsoft YaHei" w:hAnsi="Arial"/>
          <w:color w:val="333333"/>
          <w:sz w:val="22"/>
          <w:szCs w:val="22"/>
        </w:rPr>
        <w:t xml:space="preserve"> — TanStack Router 路由，Ant Design 组件库，TanStack Query 数据获取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color w:val="1A1759"/>
          <w:sz w:val="22"/>
          <w:szCs w:val="22"/>
        </w:rPr>
        <w:t xml:space="preserve">IPC 通信层</w:t>
      </w:r>
      <w:r>
        <w:rPr>
          <w:rFonts w:ascii="Arial" w:eastAsia="Microsoft YaHei" w:hAnsi="Arial"/>
          <w:color w:val="333333"/>
          <w:sz w:val="22"/>
          <w:szCs w:val="22"/>
        </w:rPr>
        <w:t xml:space="preserve"> — Contract 统一命名（domain:action），Transport 薄路由（≤15 行），Preload 白名单暴露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color w:val="1A1759"/>
          <w:sz w:val="22"/>
          <w:szCs w:val="22"/>
        </w:rPr>
        <w:t xml:space="preserve">Agent Harness 智能核心</w:t>
      </w:r>
      <w:r>
        <w:rPr>
          <w:rFonts w:ascii="Arial" w:eastAsia="Microsoft YaHei" w:hAnsi="Arial"/>
          <w:color w:val="333333"/>
          <w:sz w:val="22"/>
          <w:szCs w:val="22"/>
        </w:rPr>
        <w:t xml:space="preserve"> — 工具编排 · 策略门控 · 记忆注入 · 反射校验 · 审计日志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color w:val="1A1759"/>
          <w:sz w:val="22"/>
          <w:szCs w:val="22"/>
        </w:rPr>
        <w:t xml:space="preserve">业务服务层</w:t>
      </w:r>
      <w:r>
        <w:rPr>
          <w:rFonts w:ascii="Arial" w:eastAsia="Microsoft YaHei" w:hAnsi="Arial"/>
          <w:color w:val="333333"/>
          <w:sz w:val="22"/>
          <w:szCs w:val="22"/>
        </w:rPr>
        <w:t xml:space="preserve"> — Contact · Send · Inbox · CRM · Rates · Research · Campaign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color w:val="1A1759"/>
          <w:sz w:val="22"/>
          <w:szCs w:val="22"/>
        </w:rPr>
        <w:t xml:space="preserve">SQLite 数据层</w:t>
      </w:r>
      <w:r>
        <w:rPr>
          <w:rFonts w:ascii="Arial" w:eastAsia="Microsoft YaHei" w:hAnsi="Arial"/>
          <w:color w:val="333333"/>
          <w:sz w:val="22"/>
          <w:szCs w:val="22"/>
        </w:rPr>
        <w:t xml:space="preserve"> — Drizzle ORM · WAL 模式，11 张核心表覆盖完整业务域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color w:val="1A1759"/>
          <w:sz w:val="22"/>
          <w:szCs w:val="22"/>
        </w:rPr>
        <w:t xml:space="preserve">外部服务</w:t>
      </w:r>
      <w:r>
        <w:rPr>
          <w:rFonts w:ascii="Arial" w:eastAsia="Microsoft YaHei" w:hAnsi="Arial"/>
          <w:color w:val="333333"/>
          <w:sz w:val="22"/>
          <w:szCs w:val="22"/>
        </w:rPr>
        <w:t xml:space="preserve"> — LLM API · Exa/Tavily · IMAP/SMTP · 运价看板（局域网）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Agent 单轮执行管线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用户消息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→ 上下文锚点解析（contact:id / company:id / message:id）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→ 记忆加载（工作记忆 30 条 + 工具事实注入 + 超限压缩摘要）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→ Agent.run()（带工具定义的 LLM 调用）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  → 工具调用 → 策略门控检查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    → 读操作：工具缓存命中？→ 幂等检查 → 执行 → 审计日志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    → 写操作：审批门控 → 前端动作卡片 → 用户确认 → 闭包执行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  → 返回结果给 LLM，继续多轮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→ 反射校验（数字溯源）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→ 流式输出 → 前端渲染</w:t>
      </w:r>
    </w:p>
    <w:p>
      <w:pPr>
        <w:spacing w:after="160"/>
      </w:pPr>
    </w:p>
    <w:p>
      <w:pPr>
        <w:spacing w:after="120" w:before="0"/>
        <w:jc w:val="left"/>
      </w:pPr>
      <w:r>
        <w:rPr>
          <w:rFonts w:ascii="Arial" w:eastAsia="Microsoft YaHei" w:hAnsi="Arial"/>
          <w:b/>
          <w:bCs/>
          <w:color w:val="4B3FE3"/>
          <w:sz w:val="22"/>
          <w:szCs w:val="22"/>
        </w:rPr>
        <w:t xml:space="preserve">IPC 通道规模：17 个域、100+ 通道，Contract 统一命名（domain:action 格式），Transport 薄路由（≤15 行），Preload 白名单暴露。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759"/>
          <w:sz w:val="30"/>
          <w:szCs w:val="30"/>
        </w:rPr>
        <w:t xml:space="preserve">三、关键技术决策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决策一：Electron 桌面端而非 Web 应用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货代行业数据敏感性极高——客户联系方式、公司背调数据、邮件往来都是核心资产，必须留在本地。SMTP/IMAP 邮件协议需要本地网络环境，运价看板运行在局域网内。SQLite + WAL 模式提供零配置的本地并发读写。选择 Electron 是数据安全主权和部署便捷性的平衡。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决策二：严格三层分离架构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Services 层禁止 import electron（纯逻辑可测试，Result&lt;T&gt; 返回值）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Transport 层 ≤15 行（仅校验 + 委托，禁止直接 DB 访问）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Contract 层统一 IPC 通道命名（domain:action，禁止连字符/下划线/驼峰）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确保业务逻辑与 Electron 运行时解耦，30+ 单元测试可直接验证服务层。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决策三：OpenAI Agents SDK 驱动的 Agent 架构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选择 @openai/agents 而非自研 Agent 框架。核心设计是工具注册表（TOOL_MANIFEST）作为单一数据源——策略规则、UI 标签、审批要求、预算限制全部从 Manifest 派生。三级权限模型：L0 读（自动执行）/ L2 写（需审批）/ L3 删除（不注册为工具）。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决策四：写操作审批门控 + 动作卡片模式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所有 sideEffect=write 的工具必须经用户审批。写操作以闭包形式注册在服务端，前端仅渲染动作卡片并传回 actionId，无法直接执行写操作。每次工具执行写入 agent_tool_calls 审计表。实现"AI 建议、人类决策"的安全范式。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决策五：Drizzle ORM + better-sqlite3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类型安全 ORM（Zod schema → Drizzle schema），WAL 模式保证并发读写安全，迁移脚本幂等设计（列增加/重命名/数据回填自动执行）。11 张核心表覆盖完整业务域。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759"/>
          <w:sz w:val="30"/>
          <w:szCs w:val="30"/>
        </w:rPr>
        <w:t xml:space="preserve">四、技术能力运用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AI / LLM 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1759"/>
                <w:sz w:val="20"/>
                <w:szCs w:val="20"/>
              </w:rPr>
              <w:t xml:space="preserve">能力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1759"/>
                <w:sz w:val="20"/>
                <w:szCs w:val="20"/>
              </w:rPr>
              <w:t xml:space="preserve">实现方式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Agent 工具调用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 个工具覆盖客户搜索、邮件撰写、运价查询、市场研究、CRM 跟进、发信任务等全场景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多语言邮件生成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基于客户国家/类型/跟进阶段，从句库 + 预设模板生成 EN/ES/PT 个性化冷邮件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公司背调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Exa/Tavily 搜索 → 行业/进口活动/适配点结构化输出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收件箱智能分类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规则引擎（退信/自动回复/询盘/回复）+ LLM 意图兜底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每日 AI 建议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 生成带 {slot} 占位符的模板，展示时填充实时数据快照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航线运价研究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多源检索 → 页面验证 → 交叉验证 → 可信度分级 → 结构化报告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会话记忆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工作记忆（30 条最近消息）+ 工具事实持久化（agent_facts）+ 超限压缩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工程能力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1759"/>
                <w:sz w:val="20"/>
                <w:szCs w:val="20"/>
              </w:rPr>
              <w:t xml:space="preserve">能力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1759"/>
                <w:sz w:val="20"/>
                <w:szCs w:val="20"/>
              </w:rPr>
              <w:t xml:space="preserve">实现方式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类型安全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5.6 严格模式 + noUncheckedIndexedAccess + Zod 4.5 运行时校验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邮件引擎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多账号轮换、熔断器（consecutiveFails / circuitOpenAt）、时间窗口（21:00-08:00）、分组延迟（300-600s）、日配额（1500 封）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运价同步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局域网看板 Python 服务器 → 标准化 JSON → 本地镜像表，离线可查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端点管理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 Provider Profile（Agnes 2.5 Flash / DeepSeek），端点家族检测，思维链控制注入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测试体系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Vitest 30+ 单元测试 + 集成测试 + Agent Eval（agent-eval.test.ts）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自动更新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electron-updater + GitHub Releases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759"/>
          <w:sz w:val="30"/>
          <w:szCs w:val="30"/>
        </w:rPr>
        <w:t xml:space="preserve">五、AI 原生创新点和核心亮点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创新点一：数字反射器（Reflector）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Agent 回答中出现的所有数字，必须能在工具输出中找到来源。不匹配时自动触发轻量级修正（chatJson），仍无法对齐时附加不确定性声明。解决 LLM"数字幻觉"行业痛点——在运价、客户数、邮件统计等场景中，一个编造的数字可能导致商业误判。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创新点二：写操作审批门控 + 动作卡片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AI 不能直接执行任何写操作（删客户、发邮件、改 CRM 阶段）。写操作以闭包形式注册在服务端，前端仅渲染动作卡片，用户确认后服务端执行闭包，全程审计可追溯。"AI 可信执行"在 B2B 销售场景的工程化落地。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创新点三：工具注册表单一数据源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TOOL_MANIFEST 是所有工具元数据的唯一来源——策略规则、UI 标签、审批要求、预算限制全部从 Manifest 派生。新增工具只需在 Manifest 注册一处，Harness 系统提示、前端 toolMeta、策略门控全链路自动生效。消除工具定义散落导致的不一致风险。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创新点四：五分钟写操作幂等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conversationId + toolName + 参数hash → 5 分钟去重窗口，防止 Agent 在同一对话中重复执行相同写操作（如重复创建 CRM 跟进记录）。仅缓存成功结果，失败不幂等——允许重试。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创新点五：每日 AI 建议卡片的模板化设计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AI 生成的是带 {slot} 占位符的模板而非硬编码数字，展示时实时填充当前数据快照。六大卡片组（查运价/看市场行情/管邮件/跟进客户/准备发信/账号与公司），每张卡片隐藏方法论前缀（如"仅用本地运价镜像，不得虚构市场价格"），将研究纪律编码进提示词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创新点六：工具事实记忆（Tool Facts）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工具执行结果不仅返回给 LLM，还持久化到 agent_facts 表。后续轮次中 Agent 可直接引用之前的工具结果，无需重新查询。超过工作记忆限制时旧消息被压缩为摘要，工具事实保持完整——降低 API 成本的同时保持上下文连续性。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核心亮点总结</w:t>
      </w:r>
    </w:p>
    <w:p>
      <w:pPr>
        <w:spacing w:after="120" w:before="0"/>
        <w:jc w:val="left"/>
      </w:pPr>
      <w:r>
        <w:rPr>
          <w:rFonts w:ascii="Arial" w:eastAsia="Microsoft YaHei" w:hAnsi="Arial"/>
          <w:b/>
          <w:bCs/>
          <w:color w:val="1A1759"/>
          <w:sz w:val="22"/>
          <w:szCs w:val="22"/>
        </w:rPr>
        <w:t xml:space="preserve">Prospector 不是"AI 聊天 + CRM"的简单叠加，而是将数字反射校验、写操作安全门控、工具事实记忆、模板化建议引擎、工具注册表单一数据源五大 AI 原生能力，深度嵌入货代销售从客户开发 → 邮件触达 → 收件管理 → CRM 跟进 → 运价决策的完整闭环。数据安全留在本地，AI 能力贯穿全流程。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759"/>
          <w:sz w:val="30"/>
          <w:szCs w:val="30"/>
        </w:rPr>
        <w:t xml:space="preserve">六、Agent 与业务服务层的调用行为与鉴权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调用方式：进程内直接函数调用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Agent 工具层（tools.ts）直接 import 业务服务层函数，在同一个 Electron 主进程内以函数调用的方式执行。不经过 IPC、不经过网络、不经过任何中间认证层——因为 Agent 和业务服务运行在同一个进程里。</w:t>
      </w:r>
    </w:p>
    <w:p>
      <w:pPr>
        <w:spacing w:after="120" w:before="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实际 import 示例：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import { upsertContact, importContacts } from "../contact.service";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import { getBody, markRead } from "../inbox.service";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import { checkReminders, setStage } from "../crm.service";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import { startQueue, getSendStatus } from "../send.service";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import { listQuotes, countQuotes } from "../rate-sync.service";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import { generateEmailDraft, searchCompany } from "../ai.service";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鉴权机制：代码级五层策略门控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Agent 与业务服务之间没有传统鉴权（没有 token、session、RBAC），而是用代码级硬约束实现等价安全控制链：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cantSplit/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1759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1759"/>
                <w:sz w:val="20"/>
                <w:szCs w:val="20"/>
              </w:rPr>
              <w:t xml:space="preserve">机制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1759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工具注册表单一数据源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manifest.ts 登记 sideEffect（read/write），唯一事实源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第二层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策略层从 Manifest 派生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判据只看 sideEffect==="write"，不看 requiresApproval 字段——判据只可加严不可放宽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第三层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构建时强制注入审批闸门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buildHarnessTools() 统一扫描，对 write 类工具强制注入 needsApproval=async()=&gt;true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第四层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SDK 中断流 + 用户审批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needsApproval 返回 true → SDK 中断 → 前端动作卡片 → 用户确认 → resolveApproval 恢复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第五层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运行时防护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预算守卫 + 熔断器 + 幂等去重 + 读缓存 + 审计日志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为什么不用传统鉴权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Agent 不是外部调用方——它和业务服务在同一个进程内，本质上是应用自身的能力。传统鉴权解决"外部不可信调用方验证身份"的问题，而这里的问题是"AI 模型的工具调用行为需要受控"。用代码级策略门控比网络鉴权更直接、更难绕过：没有 token 可以泄露、没有 API 网关可以绕过、写操作的执行权始终在用户手里。</w:t>
      </w:r>
    </w:p>
    <w:p>
      <w:pPr>
        <w:spacing w:after="120" w:before="0"/>
        <w:jc w:val="left"/>
      </w:pPr>
      <w:r>
        <w:rPr>
          <w:rFonts w:ascii="Arial" w:eastAsia="Microsoft YaHei" w:hAnsi="Arial"/>
          <w:b/>
          <w:bCs/>
          <w:color w:val="1A1759"/>
          <w:sz w:val="22"/>
          <w:szCs w:val="22"/>
        </w:rPr>
        <w:t xml:space="preserve">设计原则：判据只可加严不可放宽——审批门控的判据只看 sideEffect，不依赖各工具自觉实现。审核不靠"自觉"，靠代码级强制注入。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A1A1AA"/>
        <w:sz w:val="18"/>
        <w:szCs w:val="18"/>
      </w:rPr>
      <w:t xml:space="preserve">第 </w:t>
    </w:r>
    <w:r>
      <w:rPr>
        <w:rFonts w:ascii="Arial" w:eastAsia="Microsoft YaHei" w:hAnsi="Arial"/>
        <w:color w:val="A1A1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A1A1A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A1A1AA"/>
        <w:sz w:val="18"/>
        <w:szCs w:val="18"/>
      </w:rPr>
      <w:t xml:space="preserve">Prospector AI 创新大赛答辩稿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759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4B3FE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2026-09-08T03:48:36.944Z</dcterms:created>
  <dcterms:modified xsi:type="dcterms:W3CDTF">2026-09-08T03:48:36.944Z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