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4"/>
        </w:rPr>
        <w:t>Subject: ECSA Rates | SZX/NGB/SHA/TSN → Santos / Itajaí / Navegantes / Itapoá — all direct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Good evening,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Rates below, USD/container, direct services, ocean freight only. Carriers coded for rate protection — names confirmed at booking (all top-tier mainline operators).</w:t>
      </w:r>
    </w:p>
    <w:p>
      <w:r>
        <w:rPr>
          <w:b w:val="0"/>
          <w:i w:val="0"/>
        </w:rPr>
      </w:r>
    </w:p>
    <w:p>
      <w:r>
        <w:rPr>
          <w:b/>
          <w:i w:val="0"/>
          <w:sz w:val="22"/>
        </w:rPr>
        <w:t>SANTOS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POL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20GP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40GP/HQ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T/T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Free time</w:t>
            </w:r>
          </w:p>
        </w:tc>
      </w:tr>
      <w:tr>
        <w:tc>
          <w:tcPr>
            <w:tcW w:type="dxa" w:w="1728"/>
          </w:tcPr>
          <w:p>
            <w:r>
              <w:t>Shenzhen</w:t>
            </w:r>
          </w:p>
        </w:tc>
        <w:tc>
          <w:tcPr>
            <w:tcW w:type="dxa" w:w="1728"/>
          </w:tcPr>
          <w:p>
            <w:r>
              <w:t>5544</w:t>
            </w:r>
          </w:p>
        </w:tc>
        <w:tc>
          <w:tcPr>
            <w:tcW w:type="dxa" w:w="1728"/>
          </w:tcPr>
          <w:p>
            <w:r>
              <w:t>5844</w:t>
            </w:r>
          </w:p>
        </w:tc>
        <w:tc>
          <w:tcPr>
            <w:tcW w:type="dxa" w:w="1728"/>
          </w:tcPr>
          <w:p>
            <w:r>
              <w:t>30 days</w:t>
            </w:r>
          </w:p>
        </w:tc>
        <w:tc>
          <w:tcPr>
            <w:tcW w:type="dxa" w:w="1728"/>
          </w:tcPr>
          <w:p>
            <w:r>
              <w:t>21 days</w:t>
            </w:r>
          </w:p>
        </w:tc>
      </w:tr>
      <w:tr>
        <w:tc>
          <w:tcPr>
            <w:tcW w:type="dxa" w:w="1728"/>
          </w:tcPr>
          <w:p>
            <w:r>
              <w:t>Ningbo</w:t>
            </w:r>
          </w:p>
        </w:tc>
        <w:tc>
          <w:tcPr>
            <w:tcW w:type="dxa" w:w="1728"/>
          </w:tcPr>
          <w:p>
            <w:r>
              <w:t>5644</w:t>
            </w:r>
          </w:p>
        </w:tc>
        <w:tc>
          <w:tcPr>
            <w:tcW w:type="dxa" w:w="1728"/>
          </w:tcPr>
          <w:p>
            <w:r>
              <w:t>6044</w:t>
            </w:r>
          </w:p>
        </w:tc>
        <w:tc>
          <w:tcPr>
            <w:tcW w:type="dxa" w:w="1728"/>
          </w:tcPr>
          <w:p>
            <w:r>
              <w:t>32 days</w:t>
            </w:r>
          </w:p>
        </w:tc>
        <w:tc>
          <w:tcPr>
            <w:tcW w:type="dxa" w:w="1728"/>
          </w:tcPr>
          <w:p>
            <w:r>
              <w:t>21 days</w:t>
            </w:r>
          </w:p>
        </w:tc>
      </w:tr>
      <w:tr>
        <w:tc>
          <w:tcPr>
            <w:tcW w:type="dxa" w:w="1728"/>
          </w:tcPr>
          <w:p>
            <w:r>
              <w:t>Shanghai</w:t>
            </w:r>
          </w:p>
        </w:tc>
        <w:tc>
          <w:tcPr>
            <w:tcW w:type="dxa" w:w="1728"/>
          </w:tcPr>
          <w:p>
            <w:r>
              <w:t>3710</w:t>
            </w:r>
          </w:p>
        </w:tc>
        <w:tc>
          <w:tcPr>
            <w:tcW w:type="dxa" w:w="1728"/>
          </w:tcPr>
          <w:p>
            <w:r>
              <w:t>3910</w:t>
            </w:r>
          </w:p>
        </w:tc>
        <w:tc>
          <w:tcPr>
            <w:tcW w:type="dxa" w:w="1728"/>
          </w:tcPr>
          <w:p>
            <w:r>
              <w:t>33 days</w:t>
            </w:r>
          </w:p>
        </w:tc>
        <w:tc>
          <w:tcPr>
            <w:tcW w:type="dxa" w:w="1728"/>
          </w:tcPr>
          <w:p>
            <w:r>
              <w:t>14 days</w:t>
            </w:r>
          </w:p>
        </w:tc>
      </w:tr>
      <w:tr>
        <w:tc>
          <w:tcPr>
            <w:tcW w:type="dxa" w:w="1728"/>
          </w:tcPr>
          <w:p>
            <w:r>
              <w:t>Tianjin*</w:t>
            </w:r>
          </w:p>
        </w:tc>
        <w:tc>
          <w:tcPr>
            <w:tcW w:type="dxa" w:w="1728"/>
          </w:tcPr>
          <w:p>
            <w:r>
              <w:t>5894</w:t>
            </w:r>
          </w:p>
        </w:tc>
        <w:tc>
          <w:tcPr>
            <w:tcW w:type="dxa" w:w="1728"/>
          </w:tcPr>
          <w:p>
            <w:r>
              <w:t>6294</w:t>
            </w:r>
          </w:p>
        </w:tc>
        <w:tc>
          <w:tcPr>
            <w:tcW w:type="dxa" w:w="1728"/>
          </w:tcPr>
          <w:p>
            <w:r>
              <w:t>41 days</w:t>
            </w:r>
          </w:p>
        </w:tc>
        <w:tc>
          <w:tcPr>
            <w:tcW w:type="dxa" w:w="1728"/>
          </w:tcPr>
          <w:p>
            <w:r>
              <w:t>21 days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  <w:sz w:val="22"/>
        </w:rPr>
        <w:t>ITAJAÍ / NAVEGANTES / ITAPOÁ  (same freight, all direct)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POL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20GP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40GP/HQ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T/T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Free time</w:t>
            </w:r>
          </w:p>
        </w:tc>
      </w:tr>
      <w:tr>
        <w:tc>
          <w:tcPr>
            <w:tcW w:type="dxa" w:w="1728"/>
          </w:tcPr>
          <w:p>
            <w:r>
              <w:t>Shenzhen</w:t>
            </w:r>
          </w:p>
        </w:tc>
        <w:tc>
          <w:tcPr>
            <w:tcW w:type="dxa" w:w="1728"/>
          </w:tcPr>
          <w:p>
            <w:r>
              <w:t>5544</w:t>
            </w:r>
          </w:p>
        </w:tc>
        <w:tc>
          <w:tcPr>
            <w:tcW w:type="dxa" w:w="1728"/>
          </w:tcPr>
          <w:p>
            <w:r>
              <w:t>5844</w:t>
            </w:r>
          </w:p>
        </w:tc>
        <w:tc>
          <w:tcPr>
            <w:tcW w:type="dxa" w:w="1728"/>
          </w:tcPr>
          <w:p>
            <w:r>
              <w:t>32–34 days</w:t>
            </w:r>
          </w:p>
        </w:tc>
        <w:tc>
          <w:tcPr>
            <w:tcW w:type="dxa" w:w="1728"/>
          </w:tcPr>
          <w:p>
            <w:r>
              <w:t>21 days</w:t>
            </w:r>
          </w:p>
        </w:tc>
      </w:tr>
      <w:tr>
        <w:tc>
          <w:tcPr>
            <w:tcW w:type="dxa" w:w="1728"/>
          </w:tcPr>
          <w:p>
            <w:r>
              <w:t>Ningbo</w:t>
            </w:r>
          </w:p>
        </w:tc>
        <w:tc>
          <w:tcPr>
            <w:tcW w:type="dxa" w:w="1728"/>
          </w:tcPr>
          <w:p>
            <w:r>
              <w:t>5644</w:t>
            </w:r>
          </w:p>
        </w:tc>
        <w:tc>
          <w:tcPr>
            <w:tcW w:type="dxa" w:w="1728"/>
          </w:tcPr>
          <w:p>
            <w:r>
              <w:t>6044</w:t>
            </w:r>
          </w:p>
        </w:tc>
        <w:tc>
          <w:tcPr>
            <w:tcW w:type="dxa" w:w="1728"/>
          </w:tcPr>
          <w:p>
            <w:r>
              <w:t>36–38 days</w:t>
            </w:r>
          </w:p>
        </w:tc>
        <w:tc>
          <w:tcPr>
            <w:tcW w:type="dxa" w:w="1728"/>
          </w:tcPr>
          <w:p>
            <w:r>
              <w:t>21 days</w:t>
            </w:r>
          </w:p>
        </w:tc>
      </w:tr>
      <w:tr>
        <w:tc>
          <w:tcPr>
            <w:tcW w:type="dxa" w:w="1728"/>
          </w:tcPr>
          <w:p>
            <w:r>
              <w:t>Shanghai</w:t>
            </w:r>
          </w:p>
        </w:tc>
        <w:tc>
          <w:tcPr>
            <w:tcW w:type="dxa" w:w="1728"/>
          </w:tcPr>
          <w:p>
            <w:r>
              <w:t>5355</w:t>
            </w:r>
          </w:p>
        </w:tc>
        <w:tc>
          <w:tcPr>
            <w:tcW w:type="dxa" w:w="1728"/>
          </w:tcPr>
          <w:p>
            <w:r>
              <w:t>5665</w:t>
            </w:r>
          </w:p>
        </w:tc>
        <w:tc>
          <w:tcPr>
            <w:tcW w:type="dxa" w:w="1728"/>
          </w:tcPr>
          <w:p>
            <w:r>
              <w:t>37–39 days</w:t>
            </w:r>
          </w:p>
        </w:tc>
        <w:tc>
          <w:tcPr>
            <w:tcW w:type="dxa" w:w="1728"/>
          </w:tcPr>
          <w:p>
            <w:r>
              <w:t>21 days</w:t>
            </w:r>
          </w:p>
        </w:tc>
      </w:tr>
      <w:tr>
        <w:tc>
          <w:tcPr>
            <w:tcW w:type="dxa" w:w="1728"/>
          </w:tcPr>
          <w:p>
            <w:r>
              <w:t>Tianjin*</w:t>
            </w:r>
          </w:p>
        </w:tc>
        <w:tc>
          <w:tcPr>
            <w:tcW w:type="dxa" w:w="1728"/>
          </w:tcPr>
          <w:p>
            <w:r>
              <w:t>5894</w:t>
            </w:r>
          </w:p>
        </w:tc>
        <w:tc>
          <w:tcPr>
            <w:tcW w:type="dxa" w:w="1728"/>
          </w:tcPr>
          <w:p>
            <w:r>
              <w:t>6294</w:t>
            </w:r>
          </w:p>
        </w:tc>
        <w:tc>
          <w:tcPr>
            <w:tcW w:type="dxa" w:w="1728"/>
          </w:tcPr>
          <w:p>
            <w:r>
              <w:t>45–46 days</w:t>
            </w:r>
          </w:p>
        </w:tc>
        <w:tc>
          <w:tcPr>
            <w:tcW w:type="dxa" w:w="1728"/>
          </w:tcPr>
          <w:p>
            <w:r>
              <w:t>21 days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</w:rPr>
        <w:t>Tip: these three ports serve the same SC hinterland at the same freight level — Itapoá gives you the lowest THC (R$1,061) and Navegantes/Itapoá the shorter T/T. Happy to route whichever way lands cheapest for you.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*Tianjin: no carrier calls Xingang direct on ECSA — this is the fastest routing via Qingdao, same vessel network.</w:t>
      </w:r>
    </w:p>
    <w:p>
      <w:r>
        <w:rPr>
          <w:b w:val="0"/>
          <w:i w:val="0"/>
        </w:rPr>
        <w:t>Bonus: if your cargo fits 40NOR — direct at USD 4200 (Santos) / 4300 (Itapoá), valid Jul 21–31.</w:t>
      </w:r>
    </w:p>
    <w:p>
      <w:r>
        <w:rPr>
          <w:b w:val="0"/>
          <w:i w:val="0"/>
        </w:rPr>
      </w:r>
    </w:p>
    <w:p>
      <w:r>
        <w:rPr>
          <w:b/>
          <w:i w:val="0"/>
          <w:sz w:val="22"/>
        </w:rPr>
        <w:t>DESTINATION LOCAL CHARGES (import FCL, averages)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Charge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Santos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Navegantes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Itajaí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Itapoá</w:t>
            </w:r>
          </w:p>
        </w:tc>
      </w:tr>
      <w:tr>
        <w:tc>
          <w:tcPr>
            <w:tcW w:type="dxa" w:w="1728"/>
          </w:tcPr>
          <w:p>
            <w:r>
              <w:t>THC (same 20'/40')</w:t>
            </w:r>
          </w:p>
        </w:tc>
        <w:tc>
          <w:tcPr>
            <w:tcW w:type="dxa" w:w="1728"/>
          </w:tcPr>
          <w:p>
            <w:r>
              <w:t>R$ 1,837</w:t>
            </w:r>
          </w:p>
        </w:tc>
        <w:tc>
          <w:tcPr>
            <w:tcW w:type="dxa" w:w="1728"/>
          </w:tcPr>
          <w:p>
            <w:r>
              <w:t>R$ 1,166</w:t>
            </w:r>
          </w:p>
        </w:tc>
        <w:tc>
          <w:tcPr>
            <w:tcW w:type="dxa" w:w="1728"/>
          </w:tcPr>
          <w:p>
            <w:r>
              <w:t>R$ 1,113</w:t>
            </w:r>
          </w:p>
        </w:tc>
        <w:tc>
          <w:tcPr>
            <w:tcW w:type="dxa" w:w="1728"/>
          </w:tcPr>
          <w:p>
            <w:r>
              <w:t>R$ 1,061</w:t>
            </w:r>
          </w:p>
        </w:tc>
      </w:tr>
      <w:tr>
        <w:tc>
          <w:tcPr>
            <w:tcW w:type="dxa" w:w="1728"/>
          </w:tcPr>
          <w:p>
            <w:r>
              <w:t>B/L fee (per B/L)</w:t>
            </w:r>
          </w:p>
        </w:tc>
        <w:tc>
          <w:tcPr>
            <w:tcW w:type="dxa" w:w="1728"/>
          </w:tcPr>
          <w:p>
            <w:r>
              <w:t>R$ 200–300</w:t>
            </w:r>
          </w:p>
        </w:tc>
        <w:tc>
          <w:tcPr>
            <w:tcW w:type="dxa" w:w="1728"/>
          </w:tcPr>
          <w:p>
            <w:r>
              <w:t>R$ 200–300</w:t>
            </w:r>
          </w:p>
        </w:tc>
        <w:tc>
          <w:tcPr>
            <w:tcW w:type="dxa" w:w="1728"/>
          </w:tcPr>
          <w:p>
            <w:r>
              <w:t>R$ 200–300</w:t>
            </w:r>
          </w:p>
        </w:tc>
        <w:tc>
          <w:tcPr>
            <w:tcW w:type="dxa" w:w="1728"/>
          </w:tcPr>
          <w:p>
            <w:r>
              <w:t>R$ 200–300</w:t>
            </w:r>
          </w:p>
        </w:tc>
      </w:tr>
      <w:tr>
        <w:tc>
          <w:tcPr>
            <w:tcW w:type="dxa" w:w="1728"/>
          </w:tcPr>
          <w:p>
            <w:r>
              <w:t>ISPS (per ctn)</w:t>
            </w:r>
          </w:p>
        </w:tc>
        <w:tc>
          <w:tcPr>
            <w:tcW w:type="dxa" w:w="1728"/>
          </w:tcPr>
          <w:p>
            <w:r>
              <w:t>~R$ 140</w:t>
            </w:r>
          </w:p>
        </w:tc>
        <w:tc>
          <w:tcPr>
            <w:tcW w:type="dxa" w:w="1728"/>
          </w:tcPr>
          <w:p>
            <w:r>
              <w:t>~R$ 140</w:t>
            </w:r>
          </w:p>
        </w:tc>
        <w:tc>
          <w:tcPr>
            <w:tcW w:type="dxa" w:w="1728"/>
          </w:tcPr>
          <w:p>
            <w:r>
              <w:t>~R$ 140</w:t>
            </w:r>
          </w:p>
        </w:tc>
        <w:tc>
          <w:tcPr>
            <w:tcW w:type="dxa" w:w="1728"/>
          </w:tcPr>
          <w:p>
            <w:r>
              <w:t>~R$ 140</w:t>
            </w:r>
          </w:p>
        </w:tc>
      </w:tr>
      <w:tr>
        <w:tc>
          <w:tcPr>
            <w:tcW w:type="dxa" w:w="1728"/>
          </w:tcPr>
          <w:p>
            <w:r>
              <w:t>Release fee (per ctn)</w:t>
            </w:r>
          </w:p>
        </w:tc>
        <w:tc>
          <w:tcPr>
            <w:tcW w:type="dxa" w:w="1728"/>
          </w:tcPr>
          <w:p>
            <w:r>
              <w:t>R$ 35–125</w:t>
            </w:r>
          </w:p>
        </w:tc>
        <w:tc>
          <w:tcPr>
            <w:tcW w:type="dxa" w:w="1728"/>
          </w:tcPr>
          <w:p>
            <w:r>
              <w:t>R$ 35–125</w:t>
            </w:r>
          </w:p>
        </w:tc>
        <w:tc>
          <w:tcPr>
            <w:tcW w:type="dxa" w:w="1728"/>
          </w:tcPr>
          <w:p>
            <w:r>
              <w:t>R$ 35–125</w:t>
            </w:r>
          </w:p>
        </w:tc>
        <w:tc>
          <w:tcPr>
            <w:tcW w:type="dxa" w:w="1728"/>
          </w:tcPr>
          <w:p>
            <w:r>
              <w:t>R$ 35–125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Rates valid this week, subject to space. Send commodity + volume and I'll lock space on the closest sailing.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Best regards,</w:t>
      </w:r>
    </w:p>
    <w:p>
      <w:r>
        <w:rPr>
          <w:b w:val="0"/>
          <w:i w:val="0"/>
        </w:rPr>
        <w:t>Zayne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