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240" w:lineRule="atLeast"/>
        <w:jc w:val="center"/>
        <w:rPr>
          <w:rFonts w:ascii="Calibri" w:hAnsi="Calibri"/>
          <w:b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/>
          <w:b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GARANCIJA</w:t>
      </w:r>
    </w:p>
    <w:p>
      <w:pPr>
        <w:pStyle w:val="14"/>
        <w:spacing w:line="240" w:lineRule="atLeast"/>
        <w:rPr>
          <w:rFonts w:ascii="Calibri" w:hAnsi="Calibri"/>
          <w:sz w:val="20"/>
          <w:szCs w:val="20"/>
        </w:rPr>
      </w:pPr>
    </w:p>
    <w:p>
      <w:pPr>
        <w:pStyle w:val="14"/>
        <w:spacing w:line="240" w:lineRule="atLea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Davalac ove garancije je </w:t>
      </w:r>
      <w:r>
        <w:rPr>
          <w:rFonts w:ascii="Calibri" w:hAnsi="Calibri"/>
          <w:b/>
          <w:sz w:val="20"/>
          <w:szCs w:val="20"/>
        </w:rPr>
        <w:t>Samsung Electronics Austria GmbH</w:t>
      </w:r>
      <w:r>
        <w:rPr>
          <w:rFonts w:ascii="Calibri" w:hAnsi="Calibri"/>
          <w:sz w:val="20"/>
          <w:szCs w:val="20"/>
        </w:rPr>
        <w:t xml:space="preserve">, sa registrovanim sedištem u Beču, na adresi Praterstrasse 31A, 1020 Beč, Austrija. </w:t>
      </w:r>
    </w:p>
    <w:p>
      <w:pPr>
        <w:pStyle w:val="14"/>
        <w:spacing w:line="240" w:lineRule="atLeast"/>
        <w:rPr>
          <w:rFonts w:ascii="Calibri" w:hAnsi="Calibri"/>
          <w:b/>
          <w:sz w:val="20"/>
          <w:szCs w:val="20"/>
        </w:rPr>
      </w:pPr>
    </w:p>
    <w:p>
      <w:pPr>
        <w:tabs>
          <w:tab w:val="left" w:pos="3456"/>
        </w:tabs>
        <w:spacing w:after="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Garancijom davalac garantuje da će u slučaju kvara proizvod dovesti u ispravno stanje u toku garatnog roka. Garancija važi na teritoriji Republike Srbije i ne isklju</w:t>
      </w:r>
      <w:r>
        <w:rPr>
          <w:sz w:val="20"/>
          <w:szCs w:val="20"/>
          <w:lang w:val="sr-Latn-RS"/>
        </w:rPr>
        <w:t>č</w:t>
      </w:r>
      <w:r>
        <w:rPr>
          <w:sz w:val="20"/>
          <w:szCs w:val="20"/>
        </w:rPr>
        <w:t xml:space="preserve">uje niti utiče na prava potrošaca u vezi sa saobraznošcu robe ugovoru. </w:t>
      </w:r>
    </w:p>
    <w:p>
      <w:pPr>
        <w:tabs>
          <w:tab w:val="left" w:pos="3456"/>
        </w:tabs>
        <w:spacing w:after="0" w:line="240" w:lineRule="atLeast"/>
        <w:jc w:val="both"/>
        <w:rPr>
          <w:sz w:val="20"/>
          <w:szCs w:val="20"/>
        </w:rPr>
      </w:pPr>
    </w:p>
    <w:p>
      <w:pPr>
        <w:pStyle w:val="14"/>
        <w:spacing w:line="240" w:lineRule="atLea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Garancija važi isključivo ako je garantni list pravilno popunjen i overen od strane prodavca. Prilikom reklamacije, uz garanciju se obavezno prilaže i dokaz o kupovini (faktura ili fiskalni račun).</w:t>
      </w:r>
    </w:p>
    <w:p>
      <w:pPr>
        <w:pStyle w:val="14"/>
        <w:spacing w:line="240" w:lineRule="atLeast"/>
        <w:rPr>
          <w:rFonts w:ascii="Calibri" w:hAnsi="Calibri"/>
          <w:color w:val="auto"/>
          <w:sz w:val="20"/>
          <w:szCs w:val="20"/>
        </w:rPr>
      </w:pPr>
    </w:p>
    <w:tbl>
      <w:tblPr>
        <w:tblStyle w:val="3"/>
        <w:tblW w:w="514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Broj garancije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hint="default" w:eastAsia="Times New Roman"/>
                <w:sz w:val="20"/>
                <w:szCs w:val="20"/>
                <w:lang w:val="en-US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{Broj garancije}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eastAsia="Times New Roman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Naziv proizvoda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hint="default" w:eastAsia="Times New Roman"/>
                <w:sz w:val="20"/>
                <w:szCs w:val="20"/>
                <w:lang w:val="en-US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{Naziv proizvoda}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hint="default" w:eastAsia="Times New Roman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Model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kod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rPr>
                <w:rFonts w:hint="default" w:eastAsia="Times New Roman"/>
                <w:sz w:val="20"/>
                <w:szCs w:val="20"/>
                <w:lang w:val="en-US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{Model kod}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eastAsia="Times New Roman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Serijski broj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rPr>
                <w:rFonts w:hint="default" w:eastAsia="Times New Roman"/>
                <w:sz w:val="20"/>
                <w:szCs w:val="20"/>
                <w:lang w:val="en-US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{Serijski broj}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eastAsia="Times New Roman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Datum kupovine 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rPr>
                <w:rFonts w:eastAsia="Times New Roman"/>
                <w:sz w:val="20"/>
                <w:szCs w:val="20"/>
              </w:rPr>
            </w:pPr>
          </w:p>
          <w:p>
            <w:pPr>
              <w:spacing w:after="0" w:line="240" w:lineRule="atLeast"/>
              <w:rPr>
                <w:rFonts w:hint="default" w:eastAsia="Times New Roman"/>
                <w:sz w:val="20"/>
                <w:szCs w:val="20"/>
                <w:lang w:val="en-US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{Datum kupovine}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tLeast"/>
              <w:rPr>
                <w:rFonts w:hint="default" w:eastAsia="Times New Roman" w:cs="Arial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Partner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rPr>
                <w:rFonts w:eastAsia="Times New Roman"/>
                <w:sz w:val="20"/>
                <w:szCs w:val="20"/>
              </w:rPr>
            </w:pPr>
            <w:r>
              <w:rPr>
                <w:rFonts w:hint="default" w:eastAsia="Times New Roman"/>
                <w:sz w:val="20"/>
                <w:szCs w:val="20"/>
                <w:lang w:val="en-US"/>
              </w:rPr>
              <w:t>{</w:t>
            </w:r>
            <w:r>
              <w:rPr>
                <w:rFonts w:hint="default"/>
                <w:sz w:val="20"/>
                <w:szCs w:val="20"/>
                <w:lang w:val="en-US"/>
              </w:rPr>
              <w:t>Partner}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</w:tbl>
    <w:p>
      <w:pPr>
        <w:tabs>
          <w:tab w:val="left" w:pos="3456"/>
        </w:tabs>
        <w:spacing w:after="0" w:line="240" w:lineRule="atLeast"/>
        <w:rPr>
          <w:b/>
          <w:sz w:val="20"/>
          <w:szCs w:val="20"/>
        </w:rPr>
      </w:pPr>
    </w:p>
    <w:p>
      <w:pPr>
        <w:tabs>
          <w:tab w:val="left" w:pos="3456"/>
        </w:tabs>
        <w:spacing w:after="0" w:line="240" w:lineRule="atLeast"/>
        <w:rPr>
          <w:b/>
          <w:sz w:val="20"/>
          <w:szCs w:val="20"/>
        </w:rPr>
      </w:pPr>
    </w:p>
    <w:p>
      <w:pPr>
        <w:tabs>
          <w:tab w:val="left" w:pos="3456"/>
        </w:tabs>
        <w:spacing w:after="0" w:line="2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Garantni rok za frižidere, veš mašine, određene modele usisivača, ma</w:t>
      </w:r>
      <w:r>
        <w:rPr>
          <w:sz w:val="20"/>
          <w:szCs w:val="20"/>
          <w:lang w:val="sr-Latn-RS"/>
        </w:rPr>
        <w:t>šine za sušenje veša</w:t>
      </w:r>
      <w:r>
        <w:rPr>
          <w:sz w:val="20"/>
          <w:szCs w:val="20"/>
        </w:rPr>
        <w:t>, kombinovane mašine za pranje i sušenje veša i ugradnu tehniku (rerne, ploče za kuvanje, aspiratore, mašine za sudove, frižidere, mikrotalasne rerne, kombinovane mikrotalasne rerne) je 5 (pet) godina od datuma kupovine proizvoda na teritoriji Republike Srbije.</w:t>
      </w:r>
    </w:p>
    <w:p>
      <w:pPr>
        <w:tabs>
          <w:tab w:val="left" w:pos="3456"/>
        </w:tabs>
        <w:spacing w:after="0" w:line="240" w:lineRule="atLeast"/>
        <w:rPr>
          <w:sz w:val="20"/>
          <w:szCs w:val="20"/>
        </w:rPr>
      </w:pPr>
    </w:p>
    <w:p>
      <w:pPr>
        <w:tabs>
          <w:tab w:val="left" w:pos="3456"/>
        </w:tabs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Takođe, uz 5 godina garancije, kupac ima pravo i na dodatnu garanciju na određene delove uređaja, kako je to niže navedeno: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464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</w:t>
            </w:r>
            <w:r>
              <w:rPr>
                <w:b/>
                <w:sz w:val="20"/>
                <w:szCs w:val="20"/>
                <w:lang w:val="sr-Latn-RS"/>
              </w:rPr>
              <w:t xml:space="preserve">žider: </w:t>
            </w:r>
            <w:r>
              <w:rPr>
                <w:sz w:val="20"/>
                <w:szCs w:val="20"/>
              </w:rPr>
              <w:t xml:space="preserve"> garancija 10 (deset) godina na digitalni inverter kompresor. Garancija važi  samo za delove kompresora i ne pokriva troškove usluge popravke, zamene odnosno ugradnje delova. Garancija važi samo za delove kompresora od 3-10 godine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464" w:type="dxa"/>
            <w:shd w:val="clear" w:color="auto" w:fill="auto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Veš mašina</w:t>
            </w:r>
            <w:r>
              <w:rPr>
                <w:sz w:val="20"/>
                <w:szCs w:val="20"/>
              </w:rPr>
              <w:t xml:space="preserve">: garancija 10 (deset) godina na digitalni inverter (BLDC) motor i "Quiet Drive" motor. Garancija važi  samo za navedene delove od 3-10 godine  i ne pokriva troškove usluge popravke, zamene odnosno ugradnje delova. </w:t>
            </w:r>
          </w:p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Mikrotalasna rerna (MWO</w:t>
            </w:r>
            <w:r>
              <w:rPr>
                <w:sz w:val="20"/>
                <w:szCs w:val="20"/>
              </w:rPr>
              <w:t>): 5 godina garancije na keramicku unutrašnjost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464" w:type="dxa"/>
            <w:shd w:val="clear" w:color="auto" w:fill="auto"/>
          </w:tcPr>
          <w:p>
            <w:pPr>
              <w:pStyle w:val="14"/>
              <w:spacing w:line="240" w:lineRule="atLeast"/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</w:tr>
    </w:tbl>
    <w:p>
      <w:pPr>
        <w:spacing w:line="240" w:lineRule="atLeast"/>
        <w:rPr>
          <w:sz w:val="20"/>
          <w:szCs w:val="20"/>
        </w:rPr>
      </w:pPr>
    </w:p>
    <w:p>
      <w:pPr>
        <w:pStyle w:val="14"/>
        <w:spacing w:line="240" w:lineRule="atLeas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 slučaju da je potreban servis u garantnom roku, potrebno je da se obratite ovlašćenom servisnom centru ili Samsung pozivnom centru za korisničku podršku čiji broj je naveden u nastavku ili ovlašćenom prodavcu. U slučaju potrebe, detalji o Samsungovim ovlašćenim servisnim centrima mogu se dobiti na sedeće načine: </w:t>
      </w:r>
    </w:p>
    <w:p>
      <w:pPr>
        <w:pStyle w:val="14"/>
        <w:spacing w:line="240" w:lineRule="atLeast"/>
        <w:jc w:val="center"/>
        <w:rPr>
          <w:rFonts w:ascii="Calibri" w:hAnsi="Calibri" w:cs="Times New Roman"/>
          <w:b/>
          <w:bCs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Tel: 381 11 321 6899</w:t>
      </w:r>
    </w:p>
    <w:p>
      <w:pPr>
        <w:pStyle w:val="14"/>
        <w:spacing w:line="240" w:lineRule="atLeast"/>
        <w:jc w:val="center"/>
        <w:rPr>
          <w:rFonts w:ascii="Calibri" w:hAnsi="Calibri" w:cs="Times New Roman"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>(Po ceni lokalnog poziva za fiksnu i mobilnu mrežu)</w:t>
      </w:r>
    </w:p>
    <w:p>
      <w:pPr>
        <w:pStyle w:val="14"/>
        <w:spacing w:line="240" w:lineRule="atLeast"/>
        <w:jc w:val="center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www.samsung.com/rs/support</w:t>
      </w:r>
    </w:p>
    <w:p>
      <w:pPr>
        <w:spacing w:after="0" w:line="240" w:lineRule="atLeast"/>
        <w:jc w:val="center"/>
        <w:rPr>
          <w:rFonts w:cs="HDAMC G+ Myriad Pro"/>
          <w:sz w:val="20"/>
          <w:szCs w:val="20"/>
        </w:rPr>
      </w:pPr>
      <w:r>
        <w:rPr>
          <w:sz w:val="20"/>
          <w:szCs w:val="20"/>
        </w:rPr>
        <w:t>www.samsung.com/rs</w:t>
      </w:r>
    </w:p>
    <w:p>
      <w:pPr>
        <w:pStyle w:val="14"/>
        <w:spacing w:line="240" w:lineRule="atLeast"/>
        <w:rPr>
          <w:rFonts w:ascii="Calibri" w:hAnsi="Calibri" w:cs="Times New Roman"/>
          <w:b/>
          <w:bCs/>
          <w:sz w:val="20"/>
          <w:szCs w:val="20"/>
        </w:rPr>
      </w:pPr>
    </w:p>
    <w:p>
      <w:pPr>
        <w:pStyle w:val="14"/>
        <w:spacing w:line="240" w:lineRule="atLeast"/>
        <w:rPr>
          <w:rFonts w:ascii="Calibri" w:hAnsi="Calibri" w:cs="Times New Roman"/>
          <w:b/>
          <w:bCs/>
          <w:sz w:val="20"/>
          <w:szCs w:val="20"/>
        </w:rPr>
      </w:pPr>
      <w:r>
        <w:rPr>
          <w:rFonts w:ascii="Calibri" w:hAnsi="Calibri" w:cs="Times New Roman"/>
          <w:b/>
          <w:bCs/>
          <w:sz w:val="20"/>
          <w:szCs w:val="20"/>
        </w:rPr>
        <w:br w:type="page"/>
      </w:r>
    </w:p>
    <w:p>
      <w:pPr>
        <w:pStyle w:val="14"/>
        <w:spacing w:line="240" w:lineRule="atLeast"/>
        <w:jc w:val="center"/>
        <w:rPr>
          <w:rFonts w:ascii="Calibri" w:hAnsi="Calibri"/>
          <w:b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USLOVI GARANCIJE</w:t>
      </w:r>
    </w:p>
    <w:p>
      <w:pPr>
        <w:pStyle w:val="14"/>
        <w:spacing w:line="240" w:lineRule="atLeast"/>
        <w:jc w:val="center"/>
        <w:rPr>
          <w:rFonts w:ascii="Calibri" w:hAnsi="Calibri" w:cs="Times New Roman"/>
          <w:b/>
          <w:bCs/>
          <w:sz w:val="20"/>
          <w:szCs w:val="20"/>
        </w:rPr>
      </w:pP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Ova garancija važi samo ukoliko je garantni list potpuno i pravilno ispunjen i sa priloženim originalnim računom za prodaju, kao i ako serijski broj nije uklonjen sa proizvoda. </w:t>
      </w: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>Ova garancija važi na teritoriji Republike Srbije.</w:t>
      </w: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Obaveze davaoca garancije se odnose na popravku i zamenu proizvoda ili neispravnog dela, u skladu sa zakonskim odredbama. Garancija ne isključuje niti utiče na prava potrošača koja proizlaze iz zakonske odgovornosti prodavca za nesaobraznost robe ugovoru. </w:t>
      </w: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>Sve popravke u okviru garancije moraju da obave ovlašćeni servisni centri kompanije Samsung (navedeni u listi u nastavku). Davalac garancije neće nadoknaditi troškove popravki koje su izvršili neovlašćeni centri, niti troškove oštećenja proizvoda do kojih je došlo prilikom takvih popravki. Neovlašćene popravke neće biti predmet ove garancije i mogu da onemoguće kasnije priznavanje garancije.</w:t>
      </w: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Ova garancija ne obuhvata sledeće: </w:t>
      </w:r>
    </w:p>
    <w:p>
      <w:pPr>
        <w:pStyle w:val="14"/>
        <w:spacing w:line="240" w:lineRule="atLeast"/>
        <w:ind w:left="896" w:hanging="187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>a) periodične preglede, održavanje i popravke ili zamene delova do kojih dolazi usled normalnog trošenja i habanja u skladu sa objavljenim specifikacijama Samsung proizvoda,</w:t>
      </w:r>
    </w:p>
    <w:p>
      <w:pPr>
        <w:pStyle w:val="14"/>
        <w:spacing w:line="240" w:lineRule="atLeast"/>
        <w:ind w:left="709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>b) troškove koji se odnose na prevoz, uklanjanje ili montažu proizvoda,</w:t>
      </w:r>
    </w:p>
    <w:p>
      <w:pPr>
        <w:pStyle w:val="14"/>
        <w:spacing w:line="240" w:lineRule="atLeast"/>
        <w:ind w:left="896" w:hanging="187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c) zloupotrebu proizvoda, štetu nastalu usled nepropisnog ili nestručnog korišćenja, kao i nepropisnu montažu i bilo kakvu promenu koju nije odobrio Samsung, </w:t>
      </w:r>
    </w:p>
    <w:p>
      <w:pPr>
        <w:pStyle w:val="14"/>
        <w:spacing w:line="240" w:lineRule="atLeast"/>
        <w:ind w:left="910" w:hanging="201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d) štetu nastalu usled vremenskih nepogoda, udara groma, poplave, požara, više sile, rata, javnih nereda, neodgovarajućeg napona, nepravilne ventilacije ili bilo kog drugog razloga koji je van kontrole davaoca garancije, </w:t>
      </w:r>
    </w:p>
    <w:p>
      <w:pPr>
        <w:pStyle w:val="14"/>
        <w:spacing w:line="240" w:lineRule="atLeast"/>
        <w:ind w:left="924" w:hanging="196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e) štetu nastalu prosipanjem hrane ili tečnosti ili korišćenjem bilo koje opasne materije, koja može da utiče na ispravnost proizvoda. </w:t>
      </w:r>
    </w:p>
    <w:p>
      <w:pPr>
        <w:pStyle w:val="14"/>
        <w:spacing w:line="240" w:lineRule="atLeast"/>
        <w:ind w:left="924" w:hanging="196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f) svi displeji sa tecnim kristalima (LCD), organskim LED ekranima (OLED) i plazma ekranima, bez obzira na proizvođaca, gube osvetljenost vremenom. Ovaj garantni list ne pokriva navedeni gubitak kvaliteta osvetljenja.</w:t>
      </w:r>
    </w:p>
    <w:p>
      <w:pPr>
        <w:pStyle w:val="14"/>
        <w:spacing w:line="240" w:lineRule="atLeast"/>
        <w:ind w:left="924" w:hanging="196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g) lampe projektora, punjive baterije i drugi potrošni delovi, gube ili smanjuju karakteristike vremenom.</w:t>
      </w:r>
    </w:p>
    <w:p>
      <w:pPr>
        <w:pStyle w:val="14"/>
        <w:spacing w:line="240" w:lineRule="atLeast"/>
        <w:ind w:left="924" w:hanging="196"/>
        <w:rPr>
          <w:rFonts w:ascii="Calibri" w:hAnsi="Calibri" w:cs="HDAMM G+ Myriad Pro"/>
          <w:sz w:val="20"/>
          <w:szCs w:val="20"/>
        </w:rPr>
      </w:pPr>
    </w:p>
    <w:p>
      <w:pPr>
        <w:pStyle w:val="14"/>
        <w:numPr>
          <w:ilvl w:val="0"/>
          <w:numId w:val="2"/>
        </w:numPr>
        <w:spacing w:line="240" w:lineRule="atLeast"/>
        <w:rPr>
          <w:rFonts w:ascii="Calibri" w:hAnsi="Calibri" w:cs="HDAMM G+ Myriad Pro"/>
          <w:sz w:val="20"/>
          <w:szCs w:val="20"/>
        </w:rPr>
      </w:pPr>
      <w:r>
        <w:rPr>
          <w:rFonts w:ascii="Calibri" w:hAnsi="Calibri"/>
          <w:sz w:val="20"/>
          <w:szCs w:val="20"/>
        </w:rPr>
        <w:t>Ukoliko važećim propisima Republike Srbije nije propisano drugačije, prava navedena u ovoj garanciji predstavljaju konačna potrošacka prava. Samsung, njeni ogranci i distributeri nece snositi odgovornost za posredne ili posledične gubitke ili oštecenja podataka, kompakt diskova, video ili audio kaseta ili bilo koje druge prateće opreme i materijala. Garantni rok proizvoda počinje ta teče od prvog dana kupovine proizvoda.</w:t>
      </w:r>
    </w:p>
    <w:p>
      <w:pPr>
        <w:pStyle w:val="14"/>
        <w:spacing w:line="240" w:lineRule="atLeast"/>
        <w:ind w:left="720"/>
        <w:rPr>
          <w:rFonts w:ascii="Calibri" w:hAnsi="Calibri" w:cs="HDAMM G+ Myriad Pro"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/>
          <w:b/>
          <w:bCs/>
          <w:sz w:val="20"/>
          <w:szCs w:val="20"/>
        </w:rPr>
      </w:pPr>
    </w:p>
    <w:p>
      <w:pPr>
        <w:pStyle w:val="14"/>
        <w:spacing w:line="240" w:lineRule="atLeast"/>
        <w:jc w:val="center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OVLAŠĆENI SAMSUNG SERVISNI CENTAR</w:t>
      </w:r>
    </w:p>
    <w:tbl>
      <w:tblPr>
        <w:tblStyle w:val="3"/>
        <w:tblW w:w="6237" w:type="dxa"/>
        <w:tblInd w:w="20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4"/>
        <w:gridCol w:w="18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Servis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adresa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Ekran   011/761-4707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Takovska 58, Beograd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VAT d.o.o. 011/252-0090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Radnicka 52, Beograd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Orbit Electronics  021/547-855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tLeast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Bulevar oslobođenja 68, Novi Sad</w:t>
            </w:r>
          </w:p>
        </w:tc>
      </w:tr>
    </w:tbl>
    <w:p>
      <w:pPr>
        <w:spacing w:line="240" w:lineRule="atLeast"/>
        <w:ind w:right="-1084"/>
        <w:rPr>
          <w:sz w:val="16"/>
          <w:szCs w:val="16"/>
        </w:rPr>
      </w:pPr>
      <w:r>
        <w:rPr>
          <w:rFonts w:cs="HDAMC G+ Myriad Pro"/>
          <w:color w:val="000000"/>
          <w:sz w:val="20"/>
          <w:szCs w:val="20"/>
        </w:rPr>
        <w:t xml:space="preserve">                                                        *Za detalje</w:t>
      </w:r>
      <w:r>
        <w:rPr>
          <w:sz w:val="20"/>
          <w:szCs w:val="20"/>
        </w:rPr>
        <w:t xml:space="preserve"> </w:t>
      </w:r>
      <w:r>
        <w:rPr>
          <w:rFonts w:cs="HDAMC G+ Myriad Pro"/>
          <w:color w:val="000000"/>
          <w:sz w:val="20"/>
          <w:szCs w:val="20"/>
        </w:rPr>
        <w:t>oko servisne mreže u vašem gradu pozovite naš kontak</w:t>
      </w:r>
      <w:r>
        <w:rPr>
          <w:rFonts w:cs="HDAMC G+ Myriad Pro"/>
          <w:color w:val="000000"/>
          <w:sz w:val="16"/>
          <w:szCs w:val="16"/>
        </w:rPr>
        <w:t>t centar</w:t>
      </w:r>
    </w:p>
    <w:sectPr>
      <w:pgSz w:w="12240" w:h="15840"/>
      <w:pgMar w:top="568" w:right="1417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DAMC G+ Myriad Pro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DAMM G+ Myriad Pro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433EF"/>
    <w:multiLevelType w:val="multilevel"/>
    <w:tmpl w:val="0E2433EF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58C56FE"/>
    <w:multiLevelType w:val="multilevel"/>
    <w:tmpl w:val="158C56F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hideSpellingErrors/>
  <w:hideGrammaticalErrors/>
  <w:doNotTrackMoves/>
  <w:documentProtection w:enforcement="0"/>
  <w:defaultTabStop w:val="720"/>
  <w:doNotHyphenateCaps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34D2"/>
    <w:rsid w:val="000721BC"/>
    <w:rsid w:val="000F733F"/>
    <w:rsid w:val="000F7C1D"/>
    <w:rsid w:val="00105AA7"/>
    <w:rsid w:val="00110B64"/>
    <w:rsid w:val="00112537"/>
    <w:rsid w:val="00112B70"/>
    <w:rsid w:val="00130181"/>
    <w:rsid w:val="001C0F34"/>
    <w:rsid w:val="001C689A"/>
    <w:rsid w:val="001D6C94"/>
    <w:rsid w:val="001D6EC7"/>
    <w:rsid w:val="002313F1"/>
    <w:rsid w:val="00277A83"/>
    <w:rsid w:val="002A54A1"/>
    <w:rsid w:val="002C1188"/>
    <w:rsid w:val="002D6196"/>
    <w:rsid w:val="00300A52"/>
    <w:rsid w:val="00314D39"/>
    <w:rsid w:val="00315A0D"/>
    <w:rsid w:val="00327527"/>
    <w:rsid w:val="00344C95"/>
    <w:rsid w:val="00353A30"/>
    <w:rsid w:val="003F26EC"/>
    <w:rsid w:val="00404BE8"/>
    <w:rsid w:val="00416A1E"/>
    <w:rsid w:val="00422ECB"/>
    <w:rsid w:val="00425B02"/>
    <w:rsid w:val="00440D55"/>
    <w:rsid w:val="00460726"/>
    <w:rsid w:val="00467566"/>
    <w:rsid w:val="004C2A58"/>
    <w:rsid w:val="004C5711"/>
    <w:rsid w:val="004F0634"/>
    <w:rsid w:val="0052125D"/>
    <w:rsid w:val="00542AD4"/>
    <w:rsid w:val="00572D4E"/>
    <w:rsid w:val="005872F4"/>
    <w:rsid w:val="005B6DDF"/>
    <w:rsid w:val="005F257B"/>
    <w:rsid w:val="00672680"/>
    <w:rsid w:val="00693A51"/>
    <w:rsid w:val="006E5E00"/>
    <w:rsid w:val="007A1B68"/>
    <w:rsid w:val="007E376B"/>
    <w:rsid w:val="007F2A61"/>
    <w:rsid w:val="00803C01"/>
    <w:rsid w:val="008136C9"/>
    <w:rsid w:val="00814A0A"/>
    <w:rsid w:val="00824CF8"/>
    <w:rsid w:val="00825A95"/>
    <w:rsid w:val="00853698"/>
    <w:rsid w:val="008779CE"/>
    <w:rsid w:val="0088362B"/>
    <w:rsid w:val="008A33E0"/>
    <w:rsid w:val="008D1D4E"/>
    <w:rsid w:val="008E43AF"/>
    <w:rsid w:val="008E6A27"/>
    <w:rsid w:val="0090383B"/>
    <w:rsid w:val="00914E3D"/>
    <w:rsid w:val="00935F75"/>
    <w:rsid w:val="009408B8"/>
    <w:rsid w:val="00942F37"/>
    <w:rsid w:val="00950BA0"/>
    <w:rsid w:val="00995D9D"/>
    <w:rsid w:val="00A22634"/>
    <w:rsid w:val="00A31E12"/>
    <w:rsid w:val="00A537FA"/>
    <w:rsid w:val="00B06C23"/>
    <w:rsid w:val="00B32CD6"/>
    <w:rsid w:val="00B87767"/>
    <w:rsid w:val="00B9462A"/>
    <w:rsid w:val="00BA0DF4"/>
    <w:rsid w:val="00BB093C"/>
    <w:rsid w:val="00BE2592"/>
    <w:rsid w:val="00C26BD6"/>
    <w:rsid w:val="00C33156"/>
    <w:rsid w:val="00C3365E"/>
    <w:rsid w:val="00C37F1D"/>
    <w:rsid w:val="00C65A3F"/>
    <w:rsid w:val="00C800DD"/>
    <w:rsid w:val="00CA5CC2"/>
    <w:rsid w:val="00CC7912"/>
    <w:rsid w:val="00CD0BFF"/>
    <w:rsid w:val="00CE141C"/>
    <w:rsid w:val="00D03538"/>
    <w:rsid w:val="00D158A9"/>
    <w:rsid w:val="00D557FA"/>
    <w:rsid w:val="00D61AD9"/>
    <w:rsid w:val="00DF121A"/>
    <w:rsid w:val="00DF4C22"/>
    <w:rsid w:val="00E04921"/>
    <w:rsid w:val="00E127ED"/>
    <w:rsid w:val="00EA2289"/>
    <w:rsid w:val="00EC3E11"/>
    <w:rsid w:val="00ED7E07"/>
    <w:rsid w:val="00EE2846"/>
    <w:rsid w:val="00EF1CC4"/>
    <w:rsid w:val="00F0096E"/>
    <w:rsid w:val="00F57A08"/>
    <w:rsid w:val="00F82451"/>
    <w:rsid w:val="00F82F17"/>
    <w:rsid w:val="00FC028F"/>
    <w:rsid w:val="58B9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Malgun Gothic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algun Gothic" w:cs="Times New Roman"/>
      <w:sz w:val="22"/>
      <w:szCs w:val="22"/>
      <w:lang w:val="sr-Latn-CS" w:eastAsia="sr-Latn-C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styleId="5">
    <w:name w:val="annotation reference"/>
    <w:semiHidden/>
    <w:unhideWhenUsed/>
    <w:uiPriority w:val="99"/>
    <w:rPr>
      <w:sz w:val="16"/>
      <w:szCs w:val="16"/>
      <w:lang w:val="sr-Latn-CS" w:eastAsia="sr-Latn-CS"/>
    </w:rPr>
  </w:style>
  <w:style w:type="paragraph" w:styleId="6">
    <w:name w:val="annotation text"/>
    <w:basedOn w:val="1"/>
    <w:link w:val="15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uiPriority w:val="99"/>
    <w:rPr>
      <w:b/>
      <w:bCs/>
    </w:rPr>
  </w:style>
  <w:style w:type="character" w:styleId="8">
    <w:name w:val="FollowedHyperlink"/>
    <w:semiHidden/>
    <w:unhideWhenUsed/>
    <w:uiPriority w:val="99"/>
    <w:rPr>
      <w:color w:val="800080"/>
      <w:u w:val="single"/>
      <w:lang w:val="sr-Latn-CS" w:eastAsia="sr-Latn-CS"/>
    </w:rPr>
  </w:style>
  <w:style w:type="paragraph" w:styleId="9">
    <w:name w:val="footer"/>
    <w:basedOn w:val="1"/>
    <w:link w:val="20"/>
    <w:semiHidden/>
    <w:unhideWhenUsed/>
    <w:uiPriority w:val="99"/>
    <w:pPr>
      <w:tabs>
        <w:tab w:val="center" w:pos="4536"/>
        <w:tab w:val="right" w:pos="9072"/>
      </w:tabs>
    </w:pPr>
  </w:style>
  <w:style w:type="paragraph" w:styleId="10">
    <w:name w:val="header"/>
    <w:basedOn w:val="1"/>
    <w:link w:val="19"/>
    <w:semiHidden/>
    <w:unhideWhenUsed/>
    <w:uiPriority w:val="99"/>
    <w:pPr>
      <w:tabs>
        <w:tab w:val="center" w:pos="4536"/>
        <w:tab w:val="right" w:pos="9072"/>
      </w:tabs>
    </w:pPr>
  </w:style>
  <w:style w:type="character" w:styleId="11">
    <w:name w:val="Hyperlink"/>
    <w:unhideWhenUsed/>
    <w:uiPriority w:val="99"/>
    <w:rPr>
      <w:color w:val="0000FF"/>
      <w:u w:val="single"/>
      <w:lang w:val="sr-Latn-CS" w:eastAsia="sr-Latn-CS"/>
    </w:rPr>
  </w:style>
  <w:style w:type="character" w:customStyle="1" w:styleId="12">
    <w:name w:val="Balloon Text Char"/>
    <w:link w:val="4"/>
    <w:semiHidden/>
    <w:uiPriority w:val="99"/>
    <w:rPr>
      <w:rFonts w:ascii="Tahoma" w:hAnsi="Tahoma" w:cs="Tahoma"/>
      <w:sz w:val="16"/>
      <w:szCs w:val="16"/>
      <w:lang w:val="sr-Latn-CS" w:eastAsia="sr-Latn-C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HDAMC G+ Myriad Pro" w:hAnsi="HDAMC G+ Myriad Pro" w:eastAsia="Malgun Gothic" w:cs="HDAMC G+ Myriad Pro"/>
      <w:color w:val="000000"/>
      <w:sz w:val="24"/>
      <w:szCs w:val="24"/>
      <w:lang w:val="sr-Latn-CS" w:eastAsia="sr-Latn-CS" w:bidi="ar-SA"/>
    </w:rPr>
  </w:style>
  <w:style w:type="character" w:customStyle="1" w:styleId="15">
    <w:name w:val="Comment Text Char"/>
    <w:basedOn w:val="2"/>
    <w:link w:val="6"/>
    <w:semiHidden/>
    <w:uiPriority w:val="99"/>
  </w:style>
  <w:style w:type="character" w:customStyle="1" w:styleId="16">
    <w:name w:val="Comment Subject Char"/>
    <w:link w:val="7"/>
    <w:semiHidden/>
    <w:uiPriority w:val="99"/>
    <w:rPr>
      <w:b/>
      <w:bCs/>
      <w:lang w:val="sr-Latn-CS" w:eastAsia="sr-Latn-CS"/>
    </w:rPr>
  </w:style>
  <w:style w:type="paragraph" w:customStyle="1" w:styleId="17">
    <w:name w:val="t-98-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customStyle="1" w:styleId="18">
    <w:name w:val="Revision"/>
    <w:hidden/>
    <w:semiHidden/>
    <w:uiPriority w:val="99"/>
    <w:rPr>
      <w:rFonts w:ascii="Calibri" w:hAnsi="Calibri" w:eastAsia="Malgun Gothic" w:cs="Times New Roman"/>
      <w:sz w:val="22"/>
      <w:szCs w:val="22"/>
      <w:lang w:val="sr-Latn-CS" w:eastAsia="sr-Latn-CS" w:bidi="ar-SA"/>
    </w:rPr>
  </w:style>
  <w:style w:type="character" w:customStyle="1" w:styleId="19">
    <w:name w:val="Header Char"/>
    <w:link w:val="10"/>
    <w:semiHidden/>
    <w:uiPriority w:val="99"/>
    <w:rPr>
      <w:sz w:val="22"/>
      <w:szCs w:val="22"/>
      <w:lang w:val="sr-Latn-CS" w:eastAsia="sr-Latn-CS"/>
    </w:rPr>
  </w:style>
  <w:style w:type="character" w:customStyle="1" w:styleId="20">
    <w:name w:val="Footer Char"/>
    <w:link w:val="9"/>
    <w:semiHidden/>
    <w:uiPriority w:val="99"/>
    <w:rPr>
      <w:sz w:val="22"/>
      <w:szCs w:val="22"/>
      <w:lang w:val="sr-Latn-CS" w:eastAsia="sr-Latn-CS"/>
    </w:rPr>
  </w:style>
  <w:style w:type="paragraph" w:customStyle="1" w:styleId="21">
    <w:name w:val="normal"/>
    <w:basedOn w:val="1"/>
    <w:uiPriority w:val="0"/>
    <w:pPr>
      <w:spacing w:before="100" w:beforeAutospacing="1" w:after="100" w:afterAutospacing="1" w:line="240" w:lineRule="auto"/>
    </w:pPr>
    <w:rPr>
      <w:rFonts w:ascii="Arial" w:hAnsi="Arial" w:eastAsia="Times New Roman" w:cs="Arial"/>
      <w:lang w:val="en-US" w:eastAsia="ko-K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03EF59-68C7-4C73-979B-2FD3DE9140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749</Words>
  <Characters>4274</Characters>
  <Lines>35</Lines>
  <Paragraphs>10</Paragraphs>
  <TotalTime>1</TotalTime>
  <ScaleCrop>false</ScaleCrop>
  <LinksUpToDate>false</LinksUpToDate>
  <CharactersWithSpaces>5013</CharactersWithSpaces>
  <Application>WPS Office_11.2.0.10176_F1E327BC-269C-435d-A152-05C5408002CA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2021-07-01T15:51:00Z</dcterms:created>
  <dc:creator>SEAD</dc:creator>
  <cp:lastModifiedBy>G7</cp:lastModifiedBy>
  <cp:lastPrinted>2021-06-30T08:55:00Z</cp:lastPrinted>
  <dcterms:modified xsi:type="dcterms:W3CDTF">2021-07-04T18:04:45Z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KSOProductBuildVer">
    <vt:lpwstr>1033-11.2.0.10176</vt:lpwstr>
  </property>
</Properties>
</file>