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6B" w:rsidRPr="000C0CAF" w:rsidRDefault="00532CDB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PvkbpcMmxdkfTimes-Roman" w:hAnsi="PvkbpcMmxdkfTimes-Roman" w:cs="PvkbpcMmxdkfTimes-Roman"/>
          <w:b/>
          <w:color w:val="000000"/>
          <w:sz w:val="24"/>
          <w:szCs w:val="24"/>
        </w:rPr>
      </w:pPr>
      <w:r>
        <w:rPr>
          <w:rFonts w:ascii="PvkbpcMmxdkfTimes-Roman" w:hAnsi="PvkbpcMmxdkfTimes-Roman" w:cs="PvkbpcMmxdkfTimes-Roman"/>
          <w:b/>
          <w:color w:val="000000"/>
          <w:sz w:val="24"/>
          <w:szCs w:val="24"/>
        </w:rPr>
        <w:fldChar w:fldCharType="begin" w:fldLock="1"/>
      </w:r>
      <w:r>
        <w:rPr>
          <w:rFonts w:ascii="PvkbpcMmxdkfTimes-Roman" w:hAnsi="PvkbpcMmxdkfTimes-Roman" w:cs="PvkbpcMmxdkfTimes-Roman"/>
          <w:b/>
          <w:color w:val="000000"/>
          <w:sz w:val="24"/>
          <w:szCs w:val="24"/>
        </w:rPr>
        <w:instrText>ADDIN CSL_CITATION {"citationItems":[{"id":"ITEM-1","itemData":{"DOI":"10.1007/978-3-658-13685-7","ISBN":"978-3-658-13684-0","abstract":"Vorwort; Inhaltsverzeichnis; Abkürzungsverzeichnis; 1 App4U -- Die Welt der mobilen Applikationen; 1.1 Apps, eine Erfolgsgeschichte im B2C; 1.2 Erfolg durch Apps im B2B?; 1.3 App4U -- Ein Leitfaden für die App-Entwicklung; Literatur; 2 Auf dem Weg zur optimalen mobilen Anwendung; 2.1 Beweggründe und Anwendungsbereiche mobiler Applikationen; 2.2 Orientierungsrahmen für die Entwicklung mobiler Anwendungen; 2.2.1 Ausprägungen der B2B- und B2C-Märkte; 2.2.2 Vorgehen bei der Auswahl und Einführung mobiler Applikationen; 2.2.2.1 Durchführung einer Marktanalyse im B2B- und B2C-Markt. 2.2.2.2 Make-or-Buy-Entscheidung2.2.2.3 Auswahl mobiler Betriebssysteme; Literatur; 3 Strategien und Geschäftsmodelle für mobile Applikationen; 3.1 Die Generierung einer Strategie für mobile Applikationen; 3.1.1 Strategiefindung; 3.1.2 Strategiedefinition; 3.1.3 Strategieumsetzung; 3.2 B2C und B2B Geschäftsmodelle für mobile Applikationen; 3.2.1 B2C Geschäftsmodelle; 3.2.2 B2B Geschäftsmodelle; Literatur; 4 Der professionelle Einstieg in/ ie erfolgreiche App-Entwicklung; 4.1 Softwareentwicklung und Softwarebegriff; 4.2 Mobile Endgeräte; 4.2.1 Typologisierung mobiler Endgeräte. 4.2.2 Mobile Betriebssysteme für Smartphones und Tablet-PCs4.2.3 Spezifische Eigenschaften mobiler Endgeräte; 4.3 Mobile Applikationen; 4.3.1 Einordnung und Begriffsbestimmung; 4.3.2 Applikationstypen und Entwicklungsstrategien; 4.4 Instrumente und Werkzeuge der mobilen Anwendungsentwicklung; 4.4.1 Programmiersprachen zur mobilen Applikationsentwicklung; 4.4.1.1 Java zur Entwicklung von Android-Applikationen; 4.4.1.2 C♯ zur Entwicklung von Windows-Phone-Applikationen; 4.4.1.3 Objective-C zur Entwicklung von iOS-Applikationen; 4.4.1.4 HTML 5 zur Entwicklung webbasierter Applikationen. 4.4.2 Entwicklungsumgebungen für mobile Applikationen4.4.2.1 Entwicklungsumgebungen für Android basierte Applikationen; 4.4.2.2 Entwicklungsumgebungen für iOS basierte Applikationen; 4.4.2.3 Entwicklungsumgebungen für Windows Phone basierte Applikationen; Literatur; 5 Mit Struktur und Methode in/ ie projektindividuelle App-Entwicklung; 5.1 Der Einsatz des Software Engineering in/ er mobilen Anwendungsentwicklung; 5.2 Vorgehens- und Entwicklungsmodelle; 5.2.1 Klassische Vorgehensmodelle; 5.2.2 Moderne Vorgehensmodelle; 5.2.3 Agile Vorgehensmodelle. 5.2.4 Life-Cycle-Management mobiler Applikationen5.3 Markt- und Problemanalyse; 5.3.1 Markt- und kundenbezogene Entwicklung mobiler Anwendungen; 5.3.2 Problemana…","author":[{"dropping-particle":"","family":"Aichele","given":"Christian","non-dropping-particle":"","parse-names":false,"suffix":""},{"dropping-particle":"","family":"Schönberger","given":"Marius","non-dropping-particle":"","parse-names":false,"suffix":""}],"container-title":"App-Entwicklung – effizient und erfolgreich. Eine kompakte Darstellung von Konzepten, Methoden und Werkzeugen","id":"ITEM-1","issued":{"date-parts":[["2016"]]},"number-of-pages":"47-76","title":"Der professionelle Einstieg in die erfolgreiche App-Entwicklung","type":"book"},"uris":["http://www.mendeley.com/documents/?uuid=d898f5a7-879e-4915-b97a-95d26c79a2d2"]}],"mendeley":{"formattedCitation":"(Aichele &amp; Schönberger, 2016)","plainTextFormattedCitation":"(Aichele &amp; Schönberger, 2016)","previouslyFormattedCitation":"(Aichele &amp; Schönberger, 2016)"},"properties":{"noteIndex":0},"schema":"https://github.com/citation-style-language/schema/raw/master/csl-citation.json"}</w:instrText>
      </w:r>
      <w:r>
        <w:rPr>
          <w:rFonts w:ascii="PvkbpcMmxdkfTimes-Roman" w:hAnsi="PvkbpcMmxdkfTimes-Roman" w:cs="PvkbpcMmxdkfTimes-Roman"/>
          <w:b/>
          <w:color w:val="000000"/>
          <w:sz w:val="24"/>
          <w:szCs w:val="24"/>
        </w:rPr>
        <w:fldChar w:fldCharType="separate"/>
      </w:r>
      <w:r w:rsidRPr="00532CDB">
        <w:rPr>
          <w:rFonts w:ascii="PvkbpcMmxdkfTimes-Roman" w:hAnsi="PvkbpcMmxdkfTimes-Roman" w:cs="PvkbpcMmxdkfTimes-Roman"/>
          <w:noProof/>
          <w:color w:val="000000"/>
          <w:sz w:val="24"/>
          <w:szCs w:val="24"/>
        </w:rPr>
        <w:t>(Aichele &amp; Schönberger, 2016)</w:t>
      </w:r>
      <w:r>
        <w:rPr>
          <w:rFonts w:ascii="PvkbpcMmxdkfTimes-Roman" w:hAnsi="PvkbpcMmxdkfTimes-Roman" w:cs="PvkbpcMmxdkfTimes-Roman"/>
          <w:b/>
          <w:color w:val="000000"/>
          <w:sz w:val="24"/>
          <w:szCs w:val="24"/>
        </w:rPr>
        <w:fldChar w:fldCharType="end"/>
      </w:r>
      <w:r w:rsidR="00331C6B" w:rsidRPr="000C0CAF">
        <w:rPr>
          <w:rFonts w:ascii="PvkbpcMmxdkfTimes-Roman" w:hAnsi="PvkbpcMmxdkfTimes-Roman" w:cs="PvkbpcMmxdkfTimes-Roman"/>
          <w:b/>
          <w:color w:val="000000"/>
          <w:sz w:val="24"/>
          <w:szCs w:val="24"/>
        </w:rPr>
        <w:t xml:space="preserve"> </w:t>
      </w:r>
    </w:p>
    <w:p w:rsidR="00935C7A" w:rsidRDefault="00935C7A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AC35AC" w:rsidRDefault="00AC35AC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331C6B" w:rsidRPr="00161E9C" w:rsidRDefault="00161E9C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  <w:r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Unternehmen stehen </w:t>
      </w:r>
      <w:r w:rsidR="000C0CAF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vor </w:t>
      </w:r>
      <w:r w:rsidR="00331C6B" w:rsidRPr="000C0CAF">
        <w:rPr>
          <w:rFonts w:ascii="TcdlnxFbbjrcTimes-Roman" w:hAnsi="TcdlnxFbbjrcTimes-Roman" w:cs="TcdlnxFbbjrcTimes-Roman"/>
          <w:color w:val="000000"/>
          <w:sz w:val="24"/>
          <w:szCs w:val="24"/>
        </w:rPr>
        <w:t>der Herausforderung, die unterschiedlichen Asp</w:t>
      </w:r>
      <w:r w:rsidR="000C0CAF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ekte und Konsequenzen durch die </w:t>
      </w:r>
      <w:r w:rsidR="00331C6B" w:rsidRPr="000C0CAF">
        <w:rPr>
          <w:rFonts w:ascii="TcdlnxFbbjrcTimes-Roman" w:hAnsi="TcdlnxFbbjrcTimes-Roman" w:cs="TcdlnxFbbjrcTimes-Roman"/>
          <w:color w:val="000000"/>
          <w:sz w:val="24"/>
          <w:szCs w:val="24"/>
        </w:rPr>
        <w:t>Eigenentwicklung oder den Fremdbezug zu bewer</w:t>
      </w:r>
      <w:r w:rsidR="000C0CAF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ten. Ein wichtiges Argument ist </w:t>
      </w:r>
      <w:r w:rsidR="00331C6B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hierbei die Frage nach der Wirtschaftlichkeit sowie nach</w:t>
      </w:r>
      <w:r w:rsidR="000C0CA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 strategischen und qualitativen </w:t>
      </w:r>
      <w:r w:rsidR="00331C6B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Aspekten der jeweiligen Alternativen.</w:t>
      </w:r>
      <w:r w:rsidR="000C0CA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 </w:t>
      </w:r>
    </w:p>
    <w:p w:rsidR="00161E9C" w:rsidRDefault="00161E9C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331C6B" w:rsidRPr="000C0CAF" w:rsidRDefault="00331C6B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Oftmals handelt es sich hierbei um den K</w:t>
      </w:r>
      <w:r w:rsidR="00F10D1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auf von Standardanwendungen zur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Unterstützung der Buchhaltung oder der Lagerw</w:t>
      </w:r>
      <w:r w:rsidR="00F10D1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irtschaft. Der Einführung einer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neuen IT-Lösung wird insbesondere dann eine </w:t>
      </w:r>
      <w:r w:rsidR="00F10D1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hohe Bedeutung zugewiesen, wenn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wichtige Kernprozesse des Unternehmens betrof</w:t>
      </w:r>
      <w:r w:rsidR="00F10D1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fen sind und es sich vorwiegend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um unternehmensindividuelle Aufgaben- und Tätigk</w:t>
      </w:r>
      <w:r w:rsidR="00F10D1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eitsbereiche handelt. Beispiele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für solche IT-Lösungen sind Informationssysteme für die Produktentwicklung</w:t>
      </w:r>
      <w:r w:rsidR="00161E9C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oder spezifische Kundeninformationssysteme.</w:t>
      </w:r>
    </w:p>
    <w:p w:rsidR="00331C6B" w:rsidRPr="000C0CAF" w:rsidRDefault="00331C6B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CC2F22" w:rsidRPr="00740B1E" w:rsidRDefault="00331C6B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Die Eigenentwicklung sowie der Fr</w:t>
      </w:r>
      <w:r w:rsidR="00F10D1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emdbezug von IT-Lösungen weisen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einige Vor- und Nachteile auf, die Unterne</w:t>
      </w:r>
      <w:r w:rsidR="00F10D1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hmen dazu veranlassen, Make-or-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Buy-Entscheidungen sorg</w:t>
      </w:r>
      <w:r w:rsidR="00CC2F22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fältig vorzubereiten.</w:t>
      </w:r>
    </w:p>
    <w:p w:rsidR="00CC2F22" w:rsidRPr="00740B1E" w:rsidRDefault="00CC2F22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CC2F22" w:rsidRPr="00740B1E" w:rsidRDefault="00CC2F22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Vorteile</w:t>
      </w:r>
      <w:r w:rsidR="00161E9C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 der Eigenentwicklung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:</w:t>
      </w:r>
    </w:p>
    <w:p w:rsidR="00161E9C" w:rsidRDefault="00F10D1F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Die Bewahrung </w:t>
      </w:r>
      <w:r w:rsidR="00331C6B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des eigenen IT-Know-how, </w:t>
      </w:r>
    </w:p>
    <w:p w:rsidR="00161E9C" w:rsidRDefault="00331C6B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die Sicherste</w:t>
      </w:r>
      <w:r w:rsidR="00F10D1F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llung des Datenschutzes und der </w:t>
      </w:r>
      <w:r w:rsidR="00161E9C">
        <w:rPr>
          <w:rFonts w:ascii="TcdlnxFbbjrcTimes-Roman" w:hAnsi="TcdlnxFbbjrcTimes-Roman" w:cs="TcdlnxFbbjrcTimes-Roman"/>
          <w:color w:val="000000"/>
          <w:sz w:val="24"/>
          <w:szCs w:val="24"/>
        </w:rPr>
        <w:t>Datensicherheit,</w:t>
      </w:r>
    </w:p>
    <w:p w:rsidR="00331C6B" w:rsidRPr="00740B1E" w:rsidRDefault="00331C6B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fehlende Lizenzkosten</w:t>
      </w:r>
      <w:r w:rsidR="00161E9C">
        <w:rPr>
          <w:rFonts w:ascii="TcdlnxFbbjrcTimes-Roman" w:hAnsi="TcdlnxFbbjrcTimes-Roman" w:cs="TcdlnxFbbjrcTimes-Roman"/>
          <w:color w:val="000000"/>
          <w:sz w:val="24"/>
          <w:szCs w:val="24"/>
        </w:rPr>
        <w:t>.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 </w:t>
      </w:r>
    </w:p>
    <w:p w:rsidR="00935C7A" w:rsidRPr="00740B1E" w:rsidRDefault="00935C7A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161E9C" w:rsidRDefault="00161E9C" w:rsidP="00935C7A">
      <w:pPr>
        <w:autoSpaceDE w:val="0"/>
        <w:autoSpaceDN w:val="0"/>
        <w:adjustRightInd w:val="0"/>
        <w:spacing w:after="0" w:line="240" w:lineRule="auto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161E9C" w:rsidRDefault="00161E9C" w:rsidP="00935C7A">
      <w:pPr>
        <w:autoSpaceDE w:val="0"/>
        <w:autoSpaceDN w:val="0"/>
        <w:adjustRightInd w:val="0"/>
        <w:spacing w:after="0" w:line="240" w:lineRule="auto"/>
        <w:rPr>
          <w:rFonts w:ascii="TcdlnxFbbjrcTimes-Roman" w:hAnsi="TcdlnxFbbjrcTimes-Roman" w:cs="TcdlnxFbbjrcTimes-Roman"/>
          <w:color w:val="000000"/>
          <w:sz w:val="24"/>
          <w:szCs w:val="24"/>
        </w:rPr>
      </w:pPr>
      <w:r>
        <w:rPr>
          <w:rFonts w:ascii="TcdlnxFbbjrcTimes-Roman" w:hAnsi="TcdlnxFbbjrcTimes-Roman" w:cs="TcdlnxFbbjrcTimes-Roman"/>
          <w:color w:val="000000"/>
          <w:sz w:val="24"/>
          <w:szCs w:val="24"/>
        </w:rPr>
        <w:t>Nachteile der Eigenentwicklung:</w:t>
      </w:r>
    </w:p>
    <w:p w:rsidR="00161E9C" w:rsidRDefault="00161E9C" w:rsidP="00935C7A">
      <w:pPr>
        <w:autoSpaceDE w:val="0"/>
        <w:autoSpaceDN w:val="0"/>
        <w:adjustRightInd w:val="0"/>
        <w:spacing w:after="0" w:line="240" w:lineRule="auto"/>
        <w:rPr>
          <w:rFonts w:ascii="TcdlnxFbbjrcTimes-Roman" w:hAnsi="TcdlnxFbbjrcTimes-Roman" w:cs="TcdlnxFbbjrcTimes-Roman"/>
          <w:color w:val="000000"/>
          <w:sz w:val="24"/>
          <w:szCs w:val="24"/>
        </w:rPr>
      </w:pPr>
      <w:r>
        <w:rPr>
          <w:rFonts w:ascii="TcdlnxFbbjrcTimes-Roman" w:hAnsi="TcdlnxFbbjrcTimes-Roman" w:cs="TcdlnxFbbjrcTimes-Roman"/>
          <w:color w:val="000000"/>
          <w:sz w:val="24"/>
          <w:szCs w:val="24"/>
        </w:rPr>
        <w:t>Hohe Belastung der IT-Abteilung;</w:t>
      </w:r>
    </w:p>
    <w:p w:rsidR="00161E9C" w:rsidRDefault="00161E9C" w:rsidP="00935C7A">
      <w:pPr>
        <w:autoSpaceDE w:val="0"/>
        <w:autoSpaceDN w:val="0"/>
        <w:adjustRightInd w:val="0"/>
        <w:spacing w:after="0" w:line="240" w:lineRule="auto"/>
        <w:rPr>
          <w:rFonts w:ascii="TcdlnxFbbjrcTimes-Roman" w:hAnsi="TcdlnxFbbjrcTimes-Roman" w:cs="TcdlnxFbbjrcTimes-Roman"/>
          <w:color w:val="000000"/>
          <w:sz w:val="24"/>
          <w:szCs w:val="24"/>
        </w:rPr>
      </w:pPr>
      <w:r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Lange Projektlaufzeiten, </w:t>
      </w:r>
    </w:p>
    <w:p w:rsidR="00161E9C" w:rsidRDefault="00161E9C" w:rsidP="00935C7A">
      <w:pPr>
        <w:autoSpaceDE w:val="0"/>
        <w:autoSpaceDN w:val="0"/>
        <w:adjustRightInd w:val="0"/>
        <w:spacing w:after="0" w:line="240" w:lineRule="auto"/>
        <w:rPr>
          <w:rFonts w:ascii="TcdlnxFbbjrcTimes-Roman" w:hAnsi="TcdlnxFbbjrcTimes-Roman" w:cs="TcdlnxFbbjrcTimes-Roman"/>
          <w:color w:val="000000"/>
          <w:sz w:val="24"/>
          <w:szCs w:val="24"/>
        </w:rPr>
      </w:pPr>
      <w:r>
        <w:rPr>
          <w:rFonts w:ascii="TcdlnxFbbjrcTimes-Roman" w:hAnsi="TcdlnxFbbjrcTimes-Roman" w:cs="TcdlnxFbbjrcTimes-Roman"/>
          <w:color w:val="000000"/>
          <w:sz w:val="24"/>
          <w:szCs w:val="24"/>
        </w:rPr>
        <w:t>zusätzliche Schulungskosten für die Mitarbeiter</w:t>
      </w:r>
    </w:p>
    <w:p w:rsidR="00161E9C" w:rsidRDefault="00161E9C" w:rsidP="00935C7A">
      <w:pPr>
        <w:autoSpaceDE w:val="0"/>
        <w:autoSpaceDN w:val="0"/>
        <w:adjustRightInd w:val="0"/>
        <w:spacing w:after="0" w:line="240" w:lineRule="auto"/>
        <w:rPr>
          <w:rFonts w:ascii="TcdlnxFbbjrcTimes-Roman" w:hAnsi="TcdlnxFbbjrcTimes-Roman" w:cs="TcdlnxFbbjrcTimes-Roman"/>
          <w:color w:val="000000"/>
          <w:sz w:val="24"/>
          <w:szCs w:val="24"/>
        </w:rPr>
      </w:pPr>
      <w:r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 </w:t>
      </w:r>
    </w:p>
    <w:p w:rsidR="00532CDB" w:rsidRDefault="00935C7A" w:rsidP="00532CDB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Die</w:t>
      </w:r>
      <w:r w:rsidR="00532CDB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bessere Steuerung von IT-Kosten, die Abwälzung der Risiken auf den externen Dienstleister und die Entlastung des eigenen Personals sp</w:t>
      </w:r>
      <w:r w:rsidR="00AC35AC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rechen für den Einsatz externer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Softwareunternehmen. </w:t>
      </w:r>
    </w:p>
    <w:p w:rsidR="00532CDB" w:rsidRDefault="00532CDB" w:rsidP="00935C7A">
      <w:pPr>
        <w:autoSpaceDE w:val="0"/>
        <w:autoSpaceDN w:val="0"/>
        <w:adjustRightInd w:val="0"/>
        <w:spacing w:after="0" w:line="240" w:lineRule="auto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935C7A" w:rsidRPr="00935C7A" w:rsidRDefault="00935C7A" w:rsidP="00935C7A">
      <w:pPr>
        <w:autoSpaceDE w:val="0"/>
        <w:autoSpaceDN w:val="0"/>
        <w:adjustRightInd w:val="0"/>
        <w:spacing w:after="0" w:line="240" w:lineRule="auto"/>
        <w:rPr>
          <w:rFonts w:ascii="TcdlnxFbbjrcTimes-Roman" w:hAnsi="TcdlnxFbbjrcTimes-Roman" w:cs="TcdlnxFbbjrcTimes-Roman"/>
          <w:color w:val="000000"/>
          <w:sz w:val="24"/>
          <w:szCs w:val="24"/>
        </w:rPr>
      </w:pP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Die Abhängigkeit </w:t>
      </w:r>
      <w:r w:rsidR="00CC2F22"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von diesen Unternehmen, geringe </w:t>
      </w:r>
      <w:r w:rsidRPr="00740B1E">
        <w:rPr>
          <w:rFonts w:ascii="TcdlnxFbbjrcTimes-Roman" w:hAnsi="TcdlnxFbbjrcTimes-Roman" w:cs="TcdlnxFbbjrcTimes-Roman"/>
          <w:color w:val="000000"/>
          <w:sz w:val="24"/>
          <w:szCs w:val="24"/>
        </w:rPr>
        <w:t>Kontrollmöglichkeiten und die Gefahr des Missbrauchs von internen Unternehmensdaten bilden Nachteile beim Fremdbezug</w:t>
      </w:r>
      <w:r w:rsidRPr="00935C7A">
        <w:rPr>
          <w:rFonts w:ascii="TcdlnxFbbjrcTimes-Roman" w:hAnsi="TcdlnxFbbjrcTimes-Roman" w:cs="TcdlnxFbbjrcTimes-Roman"/>
          <w:color w:val="000000"/>
          <w:sz w:val="24"/>
          <w:szCs w:val="24"/>
        </w:rPr>
        <w:t xml:space="preserve"> von Software.</w:t>
      </w:r>
    </w:p>
    <w:p w:rsidR="00331C6B" w:rsidRPr="000C0CAF" w:rsidRDefault="00331C6B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TcdlnxFbbjrcTimes-Roman" w:hAnsi="TcdlnxFbbjrcTimes-Roman" w:cs="TcdlnxFbbjrcTimes-Roman"/>
          <w:color w:val="000000"/>
          <w:sz w:val="24"/>
          <w:szCs w:val="24"/>
        </w:rPr>
      </w:pPr>
    </w:p>
    <w:p w:rsidR="00936B47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SmlssdCldjdqMyriadPro-Regular" w:hAnsi="SmlssdCldjdqMyriadPro-Regular" w:cs="SmlssdCldjdqMyriadPro-Regular"/>
          <w:color w:val="000000"/>
          <w:sz w:val="24"/>
          <w:szCs w:val="24"/>
        </w:rPr>
      </w:pPr>
    </w:p>
    <w:p w:rsidR="00935C7A" w:rsidRDefault="00935C7A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SmlssdCldjdqMyriadPro-Regular" w:hAnsi="SmlssdCldjdqMyriadPro-Regular" w:cs="SmlssdCldjdqMyriadPro-Regular"/>
          <w:color w:val="000000"/>
          <w:sz w:val="24"/>
          <w:szCs w:val="24"/>
        </w:rPr>
      </w:pPr>
      <w:r w:rsidRPr="00935C7A">
        <w:rPr>
          <w:rFonts w:ascii="SmlssdCldjdqMyriadPro-Regular" w:hAnsi="SmlssdCldjdqMyriadPro-Regular" w:cs="SmlssdCldjdqMyriadPro-Regular"/>
          <w:noProof/>
          <w:color w:val="000000"/>
          <w:sz w:val="24"/>
          <w:szCs w:val="24"/>
          <w:lang w:eastAsia="de-AT"/>
        </w:rPr>
        <w:lastRenderedPageBreak/>
        <w:drawing>
          <wp:inline distT="0" distB="0" distL="0" distR="0">
            <wp:extent cx="5760720" cy="259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7A" w:rsidRDefault="00935C7A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SmlssdCldjdqMyriadPro-Regular" w:hAnsi="SmlssdCldjdqMyriadPro-Regular" w:cs="SmlssdCldjdqMyriadPro-Regular"/>
          <w:color w:val="000000"/>
          <w:sz w:val="24"/>
          <w:szCs w:val="24"/>
        </w:rPr>
      </w:pPr>
    </w:p>
    <w:p w:rsidR="00935C7A" w:rsidRDefault="00935C7A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SmlssdCldjdqMyriadPro-Regular" w:hAnsi="SmlssdCldjdqMyriadPro-Regular" w:cs="SmlssdCldjdqMyriadPro-Regular"/>
          <w:color w:val="000000"/>
          <w:sz w:val="24"/>
          <w:szCs w:val="24"/>
        </w:rPr>
      </w:pPr>
    </w:p>
    <w:p w:rsidR="00935C7A" w:rsidRDefault="00935C7A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SmlssdCldjdqMyriadPro-Regular" w:hAnsi="SmlssdCldjdqMyriadPro-Regular" w:cs="SmlssdCldjdqMyriadPro-Regular"/>
          <w:color w:val="000000"/>
          <w:sz w:val="24"/>
          <w:szCs w:val="24"/>
        </w:rPr>
      </w:pPr>
    </w:p>
    <w:p w:rsidR="00935C7A" w:rsidRDefault="00935C7A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SmlssdCldjdqMyriadPro-Regular" w:hAnsi="SmlssdCldjdqMyriadPro-Regular" w:cs="SmlssdCldjdqMyriadPro-Regular"/>
          <w:color w:val="000000"/>
          <w:sz w:val="24"/>
          <w:szCs w:val="24"/>
        </w:rPr>
      </w:pPr>
    </w:p>
    <w:p w:rsidR="00936B47" w:rsidRPr="000C0CAF" w:rsidRDefault="00532CDB" w:rsidP="000C0CAF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 w:fldLock="1"/>
      </w:r>
      <w:r>
        <w:rPr>
          <w:b/>
          <w:sz w:val="24"/>
          <w:szCs w:val="24"/>
        </w:rPr>
        <w:instrText>ADDIN CSL_CITATION {"citationItems":[{"id":"ITEM-1","itemData":{"ISBN":"9783662533611","author":[{"dropping-particle":"Der","family":"Wirtschaftsinformatik","given":"Grundzüge","non-dropping-particle":"","parse-names":false,"suffix":""}],"id":"ITEM-1","issued":{"date-parts":[["2017"]]},"title":"No Title","type":"book"},"uris":["http://www.mendeley.com/documents/?uuid=ec2b064a-5666-4d30-a747-c7425dab9d63"]}],"mendeley":{"formattedCitation":"(Wirtschaftsinformatik, 2017)","plainTextFormattedCitation":"(Wirtschaftsinformatik, 2017)","previouslyFormattedCitation":"(Wirtschaftsinformatik, 2017)"},"properties":{"noteIndex":0},"schema":"https://github.com/citation-style-language/schema/raw/master/csl-citation.json"}</w:instrText>
      </w:r>
      <w:r>
        <w:rPr>
          <w:b/>
          <w:sz w:val="24"/>
          <w:szCs w:val="24"/>
        </w:rPr>
        <w:fldChar w:fldCharType="separate"/>
      </w:r>
      <w:r w:rsidRPr="00532CDB">
        <w:rPr>
          <w:noProof/>
          <w:sz w:val="24"/>
          <w:szCs w:val="24"/>
        </w:rPr>
        <w:t>(Wirtschaftsinformatik, 2017)</w:t>
      </w:r>
      <w:r>
        <w:rPr>
          <w:b/>
          <w:sz w:val="24"/>
          <w:szCs w:val="24"/>
        </w:rPr>
        <w:fldChar w:fldCharType="end"/>
      </w:r>
    </w:p>
    <w:p w:rsidR="00936B47" w:rsidRPr="000C0CAF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936B47" w:rsidRPr="000C0CAF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yriadPro-Bold2" w:hAnsi="MyriadPro-Bold2" w:cs="MyriadPro-Bold2"/>
          <w:b/>
          <w:bCs/>
          <w:sz w:val="24"/>
          <w:szCs w:val="24"/>
        </w:rPr>
      </w:pPr>
      <w:r w:rsidRPr="000C0CAF">
        <w:rPr>
          <w:rFonts w:ascii="MyriadPro-Bold2" w:hAnsi="MyriadPro-Bold2" w:cs="MyriadPro-Bold2"/>
          <w:b/>
          <w:bCs/>
          <w:sz w:val="24"/>
          <w:szCs w:val="24"/>
        </w:rPr>
        <w:t>Einflussfaktoren zur Wahl von Standard- oder Individualsoftware</w:t>
      </w:r>
    </w:p>
    <w:p w:rsidR="00936B47" w:rsidRPr="000C0CAF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yriadPro-Bold2" w:hAnsi="MyriadPro-Bold2" w:cs="MyriadPro-Bold2"/>
          <w:b/>
          <w:bCs/>
          <w:sz w:val="24"/>
          <w:szCs w:val="24"/>
        </w:rPr>
      </w:pPr>
    </w:p>
    <w:p w:rsidR="00936B47" w:rsidRPr="000C0CAF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  <w:r w:rsidRPr="000C0CAF">
        <w:rPr>
          <w:rFonts w:ascii="MinionPro-Regular2" w:hAnsi="MinionPro-Regular2" w:cs="MinionPro-Regular2"/>
          <w:sz w:val="24"/>
          <w:szCs w:val="24"/>
        </w:rPr>
        <w:t xml:space="preserve">Die Entscheidung, ob für eine fachliche Aufgabenstellung </w:t>
      </w:r>
      <w:r w:rsidRPr="000C0CAF">
        <w:rPr>
          <w:rFonts w:ascii="MinionPro-It2" w:hAnsi="MinionPro-It2" w:cs="MinionPro-It2"/>
          <w:i/>
          <w:iCs/>
          <w:sz w:val="24"/>
          <w:szCs w:val="24"/>
        </w:rPr>
        <w:t xml:space="preserve">Standardsoftware </w:t>
      </w:r>
      <w:r w:rsidRPr="000C0CAF">
        <w:rPr>
          <w:rFonts w:ascii="MinionPro-Regular2" w:hAnsi="MinionPro-Regular2" w:cs="MinionPro-Regular2"/>
          <w:sz w:val="24"/>
          <w:szCs w:val="24"/>
        </w:rPr>
        <w:t>eingesetzt werden</w:t>
      </w:r>
    </w:p>
    <w:p w:rsidR="00936B47" w:rsidRPr="00740B1E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  <w:r w:rsidRPr="00740B1E">
        <w:rPr>
          <w:rFonts w:ascii="MinionPro-Regular2" w:hAnsi="MinionPro-Regular2" w:cs="MinionPro-Regular2"/>
          <w:sz w:val="24"/>
          <w:szCs w:val="24"/>
        </w:rPr>
        <w:t xml:space="preserve">kann oder ob man </w:t>
      </w:r>
      <w:r w:rsidRPr="00740B1E">
        <w:rPr>
          <w:rFonts w:ascii="MinionPro-It2" w:hAnsi="MinionPro-It2" w:cs="MinionPro-It2"/>
          <w:i/>
          <w:iCs/>
          <w:sz w:val="24"/>
          <w:szCs w:val="24"/>
        </w:rPr>
        <w:t xml:space="preserve">Individualsoftware </w:t>
      </w:r>
      <w:r w:rsidRPr="00740B1E">
        <w:rPr>
          <w:rFonts w:ascii="MinionPro-Regular2" w:hAnsi="MinionPro-Regular2" w:cs="MinionPro-Regular2"/>
          <w:sz w:val="24"/>
          <w:szCs w:val="24"/>
        </w:rPr>
        <w:t>implementieren möchte, lässt</w:t>
      </w:r>
      <w:r w:rsidR="00D9589D" w:rsidRPr="00740B1E">
        <w:rPr>
          <w:rFonts w:ascii="MinionPro-Regular2" w:hAnsi="MinionPro-Regular2" w:cs="MinionPro-Regular2"/>
          <w:sz w:val="24"/>
          <w:szCs w:val="24"/>
        </w:rPr>
        <w:t xml:space="preserve"> sich i. Allg. nach der Analyse </w:t>
      </w:r>
      <w:r w:rsidRPr="00740B1E">
        <w:rPr>
          <w:rFonts w:ascii="MinionPro-Regular2" w:hAnsi="MinionPro-Regular2" w:cs="MinionPro-Regular2"/>
          <w:sz w:val="24"/>
          <w:szCs w:val="24"/>
        </w:rPr>
        <w:t xml:space="preserve">des Anwendungsbereichs und der technischen IT-Umgebung treffen. In manchen </w:t>
      </w:r>
      <w:r w:rsidR="00D9589D" w:rsidRPr="00740B1E">
        <w:rPr>
          <w:rFonts w:ascii="MinionPro-Regular2" w:hAnsi="MinionPro-Regular2" w:cs="MinionPro-Regular2"/>
          <w:sz w:val="24"/>
          <w:szCs w:val="24"/>
        </w:rPr>
        <w:t xml:space="preserve">Unternehmen </w:t>
      </w:r>
      <w:r w:rsidRPr="00740B1E">
        <w:rPr>
          <w:rFonts w:ascii="MinionPro-Regular2" w:hAnsi="MinionPro-Regular2" w:cs="MinionPro-Regular2"/>
          <w:sz w:val="24"/>
          <w:szCs w:val="24"/>
        </w:rPr>
        <w:t>werden für bestimmte Aufgaben grundsätzlich nur Standardprodukte implementiert.</w:t>
      </w:r>
    </w:p>
    <w:p w:rsidR="00D9589D" w:rsidRPr="00740B1E" w:rsidRDefault="00D9589D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It2" w:hAnsi="MinionPro-It2" w:cs="MinionPro-It2"/>
          <w:i/>
          <w:iCs/>
          <w:sz w:val="24"/>
          <w:szCs w:val="24"/>
        </w:rPr>
      </w:pPr>
    </w:p>
    <w:p w:rsidR="00936B47" w:rsidRPr="00740B1E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  <w:r w:rsidRPr="00740B1E">
        <w:rPr>
          <w:rFonts w:ascii="MinionPro-It2" w:hAnsi="MinionPro-It2" w:cs="MinionPro-It2"/>
          <w:i/>
          <w:iCs/>
          <w:sz w:val="24"/>
          <w:szCs w:val="24"/>
        </w:rPr>
        <w:t xml:space="preserve">Standardsoftware </w:t>
      </w:r>
      <w:r w:rsidRPr="00740B1E">
        <w:rPr>
          <w:rFonts w:ascii="MinionPro-Regular2" w:hAnsi="MinionPro-Regular2" w:cs="MinionPro-Regular2"/>
          <w:sz w:val="24"/>
          <w:szCs w:val="24"/>
        </w:rPr>
        <w:t>wird für die meisten Aufgabengebiete eingesetzt. Voraussetzung ist, dass</w:t>
      </w:r>
    </w:p>
    <w:p w:rsidR="00936B47" w:rsidRPr="00740B1E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  <w:r w:rsidRPr="00740B1E">
        <w:rPr>
          <w:rFonts w:ascii="MinionPro-Regular2" w:hAnsi="MinionPro-Regular2" w:cs="MinionPro-Regular2"/>
          <w:sz w:val="24"/>
          <w:szCs w:val="24"/>
        </w:rPr>
        <w:t>die Leistungsmerkmale der Software im Wesentlichen den betrieblichen Anforderungen entsprechen.</w:t>
      </w:r>
    </w:p>
    <w:p w:rsidR="00936B47" w:rsidRPr="00740B1E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  <w:r w:rsidRPr="00740B1E">
        <w:rPr>
          <w:rFonts w:ascii="MinionPro-Regular2" w:hAnsi="MinionPro-Regular2" w:cs="MinionPro-Regular2"/>
          <w:sz w:val="24"/>
          <w:szCs w:val="24"/>
        </w:rPr>
        <w:t>Das Unternehmen muss außerdem in der Lage sein, a</w:t>
      </w:r>
      <w:r w:rsidR="00D9589D" w:rsidRPr="00740B1E">
        <w:rPr>
          <w:rFonts w:ascii="MinionPro-Regular2" w:hAnsi="MinionPro-Regular2" w:cs="MinionPro-Regular2"/>
          <w:sz w:val="24"/>
          <w:szCs w:val="24"/>
        </w:rPr>
        <w:t xml:space="preserve">uf Teilfunktionen zu verzichten </w:t>
      </w:r>
      <w:r w:rsidRPr="00740B1E">
        <w:rPr>
          <w:rFonts w:ascii="MinionPro-Regular2" w:hAnsi="MinionPro-Regular2" w:cs="MinionPro-Regular2"/>
          <w:sz w:val="24"/>
          <w:szCs w:val="24"/>
        </w:rPr>
        <w:t>oder diese ergänzend selbst zu realisieren, wenn sie von dem g</w:t>
      </w:r>
      <w:r w:rsidR="00D9589D" w:rsidRPr="00740B1E">
        <w:rPr>
          <w:rFonts w:ascii="MinionPro-Regular2" w:hAnsi="MinionPro-Regular2" w:cs="MinionPro-Regular2"/>
          <w:sz w:val="24"/>
          <w:szCs w:val="24"/>
        </w:rPr>
        <w:t xml:space="preserve">ewählten System nicht angeboten </w:t>
      </w:r>
      <w:r w:rsidRPr="00740B1E">
        <w:rPr>
          <w:rFonts w:ascii="MinionPro-Regular2" w:hAnsi="MinionPro-Regular2" w:cs="MinionPro-Regular2"/>
          <w:sz w:val="24"/>
          <w:szCs w:val="24"/>
        </w:rPr>
        <w:t>werden.</w:t>
      </w:r>
    </w:p>
    <w:p w:rsidR="00936B47" w:rsidRPr="00740B1E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</w:p>
    <w:p w:rsidR="00936B47" w:rsidRPr="00740B1E" w:rsidRDefault="00936B47" w:rsidP="00D9589D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  <w:r w:rsidRPr="00740B1E">
        <w:rPr>
          <w:rFonts w:ascii="MinionPro-It2" w:hAnsi="MinionPro-It2" w:cs="MinionPro-It2"/>
          <w:i/>
          <w:iCs/>
          <w:sz w:val="24"/>
          <w:szCs w:val="24"/>
        </w:rPr>
        <w:t xml:space="preserve">Standardsoftware </w:t>
      </w:r>
      <w:r w:rsidRPr="00740B1E">
        <w:rPr>
          <w:rFonts w:ascii="MinionPro-Regular2" w:hAnsi="MinionPro-Regular2" w:cs="MinionPro-Regular2"/>
          <w:sz w:val="24"/>
          <w:szCs w:val="24"/>
        </w:rPr>
        <w:t>kann man zunächst nach dem verwendeten Lizenzmodell in</w:t>
      </w:r>
      <w:r w:rsidR="00D9589D" w:rsidRPr="00740B1E">
        <w:rPr>
          <w:rFonts w:ascii="MinionPro-Regular2" w:hAnsi="MinionPro-Regular2" w:cs="MinionPro-Regular2"/>
          <w:sz w:val="24"/>
          <w:szCs w:val="24"/>
        </w:rPr>
        <w:t xml:space="preserve"> traditionelle Standardsoftware </w:t>
      </w:r>
      <w:r w:rsidRPr="00740B1E">
        <w:rPr>
          <w:rFonts w:ascii="MinionPro-Regular2" w:hAnsi="MinionPro-Regular2" w:cs="MinionPro-Regular2"/>
          <w:sz w:val="24"/>
          <w:szCs w:val="24"/>
        </w:rPr>
        <w:t xml:space="preserve">und </w:t>
      </w:r>
      <w:r w:rsidRPr="00740B1E">
        <w:rPr>
          <w:rFonts w:ascii="MinionPro-It2" w:hAnsi="MinionPro-It2" w:cs="MinionPro-It2"/>
          <w:i/>
          <w:iCs/>
          <w:sz w:val="24"/>
          <w:szCs w:val="24"/>
        </w:rPr>
        <w:t xml:space="preserve">Open-Source-Software </w:t>
      </w:r>
      <w:r w:rsidRPr="00740B1E">
        <w:rPr>
          <w:rFonts w:ascii="MinionPro-Regular2" w:hAnsi="MinionPro-Regular2" w:cs="MinionPro-Regular2"/>
          <w:sz w:val="24"/>
          <w:szCs w:val="24"/>
        </w:rPr>
        <w:t xml:space="preserve">untergliedern. Darüber </w:t>
      </w:r>
      <w:r w:rsidR="00D9589D" w:rsidRPr="00740B1E">
        <w:rPr>
          <w:rFonts w:ascii="MinionPro-Regular2" w:hAnsi="MinionPro-Regular2" w:cs="MinionPro-Regular2"/>
          <w:sz w:val="24"/>
          <w:szCs w:val="24"/>
        </w:rPr>
        <w:t xml:space="preserve">hinaus ist zu unterscheiden, ob </w:t>
      </w:r>
      <w:r w:rsidRPr="00740B1E">
        <w:rPr>
          <w:rFonts w:ascii="MinionPro-Regular2" w:hAnsi="MinionPro-Regular2" w:cs="MinionPro-Regular2"/>
          <w:sz w:val="24"/>
          <w:szCs w:val="24"/>
        </w:rPr>
        <w:t>im eigenen Haus installierte Softwareprodukte zum Einsatz ko</w:t>
      </w:r>
      <w:r w:rsidR="00D9589D" w:rsidRPr="00740B1E">
        <w:rPr>
          <w:rFonts w:ascii="MinionPro-Regular2" w:hAnsi="MinionPro-Regular2" w:cs="MinionPro-Regular2"/>
          <w:sz w:val="24"/>
          <w:szCs w:val="24"/>
        </w:rPr>
        <w:t xml:space="preserve">mmen oder solche, die von einem </w:t>
      </w:r>
      <w:r w:rsidRPr="00740B1E">
        <w:rPr>
          <w:rFonts w:ascii="MinionPro-Regular2" w:hAnsi="MinionPro-Regular2" w:cs="MinionPro-Regular2"/>
          <w:sz w:val="24"/>
          <w:szCs w:val="24"/>
        </w:rPr>
        <w:t xml:space="preserve">Anbieter betrieben und über Netze zugreifbar sind. </w:t>
      </w:r>
    </w:p>
    <w:p w:rsidR="00D9589D" w:rsidRPr="00740B1E" w:rsidRDefault="00D9589D" w:rsidP="00D9589D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</w:p>
    <w:p w:rsidR="00D9589D" w:rsidRPr="000C0CAF" w:rsidRDefault="00D9589D" w:rsidP="00D9589D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  <w:r w:rsidRPr="00740B1E">
        <w:rPr>
          <w:rFonts w:ascii="MinionPro-Regular2" w:hAnsi="MinionPro-Regular2" w:cs="MinionPro-Regular2"/>
          <w:sz w:val="24"/>
          <w:szCs w:val="24"/>
        </w:rPr>
        <w:t>Kosten bei verschiedenen Arten der Standardsoftware</w:t>
      </w:r>
      <w:r>
        <w:rPr>
          <w:rFonts w:ascii="MinionPro-Regular2" w:hAnsi="MinionPro-Regular2" w:cs="MinionPro-Regular2"/>
          <w:sz w:val="24"/>
          <w:szCs w:val="24"/>
        </w:rPr>
        <w:t xml:space="preserve"> </w:t>
      </w:r>
    </w:p>
    <w:p w:rsidR="00936B47" w:rsidRPr="000C0CAF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</w:p>
    <w:p w:rsidR="00936B47" w:rsidRPr="000C0CAF" w:rsidRDefault="00936B47" w:rsidP="000C0CA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2" w:hAnsi="MinionPro-Regular2" w:cs="MinionPro-Regular2"/>
          <w:sz w:val="24"/>
          <w:szCs w:val="24"/>
        </w:rPr>
      </w:pPr>
    </w:p>
    <w:p w:rsidR="00936B47" w:rsidRDefault="00936B47" w:rsidP="00936B47">
      <w:pPr>
        <w:autoSpaceDE w:val="0"/>
        <w:autoSpaceDN w:val="0"/>
        <w:adjustRightInd w:val="0"/>
        <w:spacing w:after="0" w:line="240" w:lineRule="auto"/>
        <w:rPr>
          <w:b/>
        </w:rPr>
      </w:pPr>
      <w:r w:rsidRPr="00936B47">
        <w:rPr>
          <w:b/>
          <w:noProof/>
          <w:lang w:eastAsia="de-AT"/>
        </w:rPr>
        <w:lastRenderedPageBreak/>
        <w:drawing>
          <wp:inline distT="0" distB="0" distL="0" distR="0">
            <wp:extent cx="52006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47" w:rsidRDefault="00936B47" w:rsidP="00936B4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36B47" w:rsidRDefault="00936B47" w:rsidP="00936B4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9589D" w:rsidRPr="00740B1E" w:rsidRDefault="00936B47" w:rsidP="00D9589D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Unter </w:t>
      </w:r>
      <w:r w:rsidRPr="00740B1E">
        <w:rPr>
          <w:rFonts w:ascii="MinionPro-It2" w:hAnsi="MinionPro-It2" w:cs="MinionPro-It2"/>
          <w:i/>
          <w:iCs/>
          <w:color w:val="000000"/>
          <w:sz w:val="24"/>
          <w:szCs w:val="24"/>
        </w:rPr>
        <w:t xml:space="preserve">Individualsoftware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versteht man AS, die durch die eigene IT-A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bteilung bzw. durch beauftragte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Programmierer für eine spezielle betriebliche Aufgabenste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llung im Unternehmen entwickelt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werden. 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D9589D" w:rsidRPr="00740B1E" w:rsidRDefault="00D9589D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532CDB" w:rsidRDefault="00D9589D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b/>
          <w:color w:val="000000"/>
          <w:sz w:val="24"/>
          <w:szCs w:val="24"/>
        </w:rPr>
      </w:pPr>
      <w:r w:rsidRPr="00532CDB">
        <w:rPr>
          <w:rFonts w:ascii="MinionPro-Regular2" w:hAnsi="MinionPro-Regular2" w:cs="MinionPro-Regular2"/>
          <w:b/>
          <w:color w:val="000000"/>
          <w:sz w:val="24"/>
          <w:szCs w:val="24"/>
        </w:rPr>
        <w:t xml:space="preserve">Bewertung von Individual- Standardsoftware 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19"/>
          <w:szCs w:val="19"/>
        </w:rPr>
      </w:pPr>
    </w:p>
    <w:p w:rsidR="00532CDB" w:rsidRDefault="00532CDB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Vorteilhaft bei der Standardsoftware ist, dass die </w:t>
      </w:r>
      <w:r w:rsidRPr="00740B1E">
        <w:rPr>
          <w:rFonts w:ascii="MinionPro-It2" w:hAnsi="MinionPro-It2" w:cs="MinionPro-It2"/>
          <w:i/>
          <w:iCs/>
          <w:color w:val="000000"/>
          <w:sz w:val="24"/>
          <w:szCs w:val="24"/>
        </w:rPr>
        <w:t xml:space="preserve">Kosten des Erwerbs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und der Anpassung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dieser Software meistens geringer sind als die Kosten für das Erstellen einer Individuallösung.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It2" w:hAnsi="MinionPro-It2" w:cs="MinionPro-It2"/>
          <w:i/>
          <w:iCs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Hinzu kommt, dass die Standardpakete sofort verfügbar sind. Hierdurch ist die </w:t>
      </w:r>
      <w:r w:rsidR="00D9589D" w:rsidRPr="00740B1E">
        <w:rPr>
          <w:rFonts w:ascii="MinionPro-It2" w:hAnsi="MinionPro-It2" w:cs="MinionPro-It2"/>
          <w:i/>
          <w:iCs/>
          <w:color w:val="000000"/>
          <w:sz w:val="24"/>
          <w:szCs w:val="24"/>
        </w:rPr>
        <w:t xml:space="preserve">Einführungsdauer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i. d. R. viel kürzer als bei Individualsoftware, da man diese erst noch entwickeln muss.</w:t>
      </w:r>
    </w:p>
    <w:p w:rsidR="00D9589D" w:rsidRPr="00740B1E" w:rsidRDefault="00D9589D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Oftmals ist Standardsoftware auch ausgereifter als Individualsoftware, sodass hier weniger</w:t>
      </w:r>
    </w:p>
    <w:p w:rsidR="00936B47" w:rsidRPr="00D9589D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It2" w:hAnsi="MinionPro-It2" w:cs="MinionPro-It2"/>
          <w:i/>
          <w:iCs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Fehler auftreten. Auch kann mit der 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>Standardsoft</w:t>
      </w:r>
      <w:r w:rsidR="00D9589D">
        <w:rPr>
          <w:rFonts w:ascii="MinionPro-Regular2" w:hAnsi="MinionPro-Regular2" w:cs="MinionPro-Regular2"/>
          <w:color w:val="000000"/>
          <w:sz w:val="24"/>
          <w:szCs w:val="24"/>
        </w:rPr>
        <w:t xml:space="preserve">ware möglicherweise </w:t>
      </w:r>
      <w:r w:rsidR="00D9589D">
        <w:rPr>
          <w:rFonts w:ascii="MinionPro-It2" w:hAnsi="MinionPro-It2" w:cs="MinionPro-It2"/>
          <w:i/>
          <w:iCs/>
          <w:color w:val="000000"/>
          <w:sz w:val="24"/>
          <w:szCs w:val="24"/>
        </w:rPr>
        <w:t xml:space="preserve">betriebswirtschaftliches </w:t>
      </w:r>
      <w:r w:rsidRPr="00D9589D">
        <w:rPr>
          <w:rFonts w:ascii="MinionPro-It2" w:hAnsi="MinionPro-It2" w:cs="MinionPro-It2"/>
          <w:i/>
          <w:iCs/>
          <w:color w:val="000000"/>
          <w:sz w:val="24"/>
          <w:szCs w:val="24"/>
        </w:rPr>
        <w:t>und organisatorisches Know-how</w:t>
      </w:r>
      <w:r w:rsidRPr="00D9589D">
        <w:rPr>
          <w:rFonts w:ascii="MinionPro-Regular2" w:hAnsi="MinionPro-Regular2" w:cs="MinionPro-Regular2"/>
          <w:color w:val="000000"/>
          <w:sz w:val="24"/>
          <w:szCs w:val="24"/>
        </w:rPr>
        <w:t>, das im Unternehmen nicht verfügbar ist, erworben werden.</w:t>
      </w:r>
    </w:p>
    <w:p w:rsidR="00D9589D" w:rsidRDefault="00D9589D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Oftmals ist auch zu beobachten, dass die Schulung, die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 ein Softwarehersteller für die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Anwendung anbietet, professioneller ist als eine Anwenderschulung, die von Abteilungen im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eigenen Haus durchgeführt wird. Schließlich werden bei der 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Verwendung von Standardsoftware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die eigenen IT-Ressourcen geschont, um sie für andere wichtige Aufgaben einzusetzen</w:t>
      </w:r>
      <w:r w:rsidR="00F30B93" w:rsidRPr="00740B1E">
        <w:rPr>
          <w:rFonts w:ascii="MinionPro-Regular2" w:hAnsi="MinionPro-Regular2" w:cs="MinionPro-Regular2"/>
          <w:color w:val="000000"/>
          <w:sz w:val="24"/>
          <w:szCs w:val="24"/>
        </w:rPr>
        <w:t>.</w:t>
      </w:r>
    </w:p>
    <w:p w:rsidR="00D9589D" w:rsidRPr="00740B1E" w:rsidRDefault="00D9589D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Neben den genannten Vorteilen der Standardsoftware existieren auch einige Nachteile.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Oftmals bestehen Diskrepanzen zwischen den fun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ktionalen und organisatorischen betrieblichen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Anforderungen und dem Programmaufbau. Es m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ag deswegen notwendig sein, die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betriebliche Aufbau- und Ablauforganisation anzupassen. Alternativ hierzu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 kann die Standardsoftware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an das Unternehmen adaptiert werden. Diese unternehmensindividuellen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Softwaremodifikationen können jedoch hohe Kosten verursachen, insbesondere wenn man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berücksichtigt, dass solche Änderungen auch jedes Mal beim </w:t>
      </w:r>
      <w:r w:rsidRPr="00740B1E">
        <w:rPr>
          <w:rFonts w:ascii="MinionPro-It2" w:hAnsi="MinionPro-It2" w:cs="MinionPro-It2"/>
          <w:i/>
          <w:iCs/>
          <w:color w:val="000000"/>
          <w:sz w:val="24"/>
          <w:szCs w:val="24"/>
        </w:rPr>
        <w:t xml:space="preserve">Versionswechsel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der Software</w:t>
      </w:r>
    </w:p>
    <w:p w:rsidR="00936B47" w:rsidRPr="00D9589D" w:rsidRDefault="00936B47" w:rsidP="00D9589D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neu zu übertragen sind.</w:t>
      </w:r>
      <w:r w:rsidRPr="00D9589D">
        <w:rPr>
          <w:rFonts w:ascii="MinionPro-Regular2" w:hAnsi="MinionPro-Regular2" w:cs="MinionPro-Regular2"/>
          <w:color w:val="000000"/>
          <w:sz w:val="24"/>
          <w:szCs w:val="24"/>
        </w:rPr>
        <w:t xml:space="preserve"> </w:t>
      </w:r>
    </w:p>
    <w:p w:rsidR="00D9589D" w:rsidRDefault="00D9589D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D9589D" w:rsidRDefault="00D9589D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lastRenderedPageBreak/>
        <w:t>Die Nutzung von Sta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ndardsoftware führt zudem dazu,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dass nur wenig eigenes IT-Know-how im Unternehmen 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aufgebaut wird. Das Unternehmen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begibt sich evtl. in eine ungewollte Abhängigkeit vom Softw</w:t>
      </w:r>
      <w:r w:rsidR="00D9589D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arelieferanten, evtl. auch, was </w:t>
      </w:r>
      <w:r w:rsidR="005F4EC7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die zukünftige Höhe der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Wartungskosten angeht. Durch d</w:t>
      </w:r>
      <w:r w:rsidR="005F4EC7" w:rsidRPr="00740B1E">
        <w:rPr>
          <w:rFonts w:ascii="MinionPro-Regular2" w:hAnsi="MinionPro-Regular2" w:cs="MinionPro-Regular2"/>
          <w:color w:val="000000"/>
          <w:sz w:val="24"/>
          <w:szCs w:val="24"/>
        </w:rPr>
        <w:t xml:space="preserve">ie Nutzung von Standardsoftware </w:t>
      </w: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können dem Betrieb Differenzierungsmöglichkeiten gegenüber den Wettbewerbern verloren</w:t>
      </w:r>
    </w:p>
    <w:p w:rsidR="00936B47" w:rsidRPr="00740B1E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  <w:r w:rsidRPr="00740B1E">
        <w:rPr>
          <w:rFonts w:ascii="MinionPro-Regular2" w:hAnsi="MinionPro-Regular2" w:cs="MinionPro-Regular2"/>
          <w:color w:val="000000"/>
          <w:sz w:val="24"/>
          <w:szCs w:val="24"/>
        </w:rPr>
        <w:t>gehen.</w:t>
      </w:r>
    </w:p>
    <w:p w:rsidR="00936B47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yriadPro-Bold2" w:hAnsi="MyriadPro-Bold2" w:cs="MyriadPro-Bold2"/>
          <w:b/>
          <w:bCs/>
          <w:color w:val="FFFFFF"/>
          <w:sz w:val="30"/>
          <w:szCs w:val="30"/>
        </w:rPr>
      </w:pPr>
      <w:r w:rsidRPr="00740B1E">
        <w:rPr>
          <w:rFonts w:ascii="MyriadPro-Bold2" w:hAnsi="MyriadPro-Bold2" w:cs="MyriadPro-Bold2"/>
          <w:b/>
          <w:bCs/>
          <w:color w:val="FFFFFF"/>
          <w:sz w:val="30"/>
          <w:szCs w:val="30"/>
        </w:rPr>
        <w:t>5</w:t>
      </w:r>
    </w:p>
    <w:p w:rsidR="005F4EC7" w:rsidRPr="005F4EC7" w:rsidRDefault="005F4EC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5F4EC7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5F4EC7" w:rsidRDefault="00936B47" w:rsidP="00936B47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color w:val="000000"/>
          <w:sz w:val="24"/>
          <w:szCs w:val="24"/>
        </w:rPr>
      </w:pPr>
    </w:p>
    <w:p w:rsidR="00936B47" w:rsidRPr="00331C6B" w:rsidRDefault="00936B47" w:rsidP="00936B4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C35AC" w:rsidRDefault="00532CDB" w:rsidP="00AC35AC">
      <w:pPr>
        <w:rPr>
          <w:b/>
        </w:rPr>
      </w:pPr>
      <w:r>
        <w:rPr>
          <w:b/>
        </w:rPr>
        <w:fldChar w:fldCharType="begin" w:fldLock="1"/>
      </w:r>
      <w:r>
        <w:rPr>
          <w:b/>
        </w:rPr>
        <w:instrText>ADDIN CSL_CITATION {"citationItems":[{"id":"ITEM-1","itemData":{"DOI":"10.1007/978-3-658-18599-2","ISBN":"978-3-658-18599-2","abstract":"Ernst Piller gibt praktische Hinweise zum Beschaffungsvorgang von IT-sicherer Soft- und Hardware für die eigene Infrastruktur bzw. die Produktion. Dabei beschränkt sich ‚Hardware' nicht nur auf IKT-Produkte, sondern impliziert auch alle Geräte, Maschinen, Steuerungen, Fahrzeuge und Produktionskomponenten aus allen Branchen, die eine Software enthalten. Der Autor behandelt Themen wie IT-Sicherheitsanforderungen, Vertrauen in Hersteller, beschaffungsrelevante Informationssysteme für IT-Sicherheit und Gütezeichen. Abgerundet wird das essential mit der Vorstellung einer herstellerunabhängigen und kostenfreien Plattform zur Unterstützung des Beschaffungsprozesses für den Einkauf von Soft- und Hardware unter Berücksichtigung der IT-Sicherheit. Der Inhalt Risikoanalyse, Schutzbedarfsfeststellung und IT-Sicherheitsanforderungen Herkunft IT-sicherheitskritischer Komponenten, juristische Aspekte, IT-Sicherheitsgütezeichen Vorstellung einer unabhängigen Beschaffungsplattform Die Zielgruppen Personen in Unternehmen, Behörden, kritischen Infrastrukturen, Produktions- oder Handelsunternehmen, die Software oder Hardware-Produkte (mit integrierter Software) einkaufen Dozierende und Studierende der Informatik und Wirtschaftswissenschaften Der Autor Prof. Dr. Ernst Piller ist Informatiker, Dozent, IT-Sicherheitsberater und Wissenschaftler. Er leitet das Institut für IT-Sicherheitsforschung an der FH St. Pölten, Österreich, und ist dort zudem Professor für IT-Sicherheit","author":[{"dropping-particle":"","family":"Piller","given":"Ernst","non-dropping-particle":"","parse-names":false,"suffix":""}],"id":"ITEM-1","issued":{"date-parts":[["2017"]]},"title":"Beschaffung unter Berücksichtigung der IT-Sicherheit : Wichtigkeit, Herausforderungen und Maßnahmen","type":"book"},"uris":["http://www.mendeley.com/documents/?uuid=11f220f9-05d4-4a38-b568-f2fd34032874"]}],"mendeley":{"formattedCitation":"(Piller, 2017)","plainTextFormattedCitation":"(Piller, 2017)"},"properties":{"noteIndex":0},"schema":"https://github.com/citation-style-language/schema/raw/master/csl-citation.json"}</w:instrText>
      </w:r>
      <w:r>
        <w:rPr>
          <w:b/>
        </w:rPr>
        <w:fldChar w:fldCharType="separate"/>
      </w:r>
      <w:r w:rsidRPr="00532CDB">
        <w:rPr>
          <w:noProof/>
        </w:rPr>
        <w:t>(Piller, 2017)</w:t>
      </w:r>
      <w:r>
        <w:rPr>
          <w:b/>
        </w:rPr>
        <w:fldChar w:fldCharType="end"/>
      </w:r>
      <w:bookmarkStart w:id="0" w:name="_GoBack"/>
      <w:bookmarkEnd w:id="0"/>
    </w:p>
    <w:p w:rsidR="00AC35AC" w:rsidRDefault="00AC35AC" w:rsidP="00AC35A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C35AC" w:rsidRPr="000C0CAF" w:rsidRDefault="00AC35AC" w:rsidP="00AC35AC">
      <w:pPr>
        <w:autoSpaceDE w:val="0"/>
        <w:autoSpaceDN w:val="0"/>
        <w:adjustRightInd w:val="0"/>
        <w:spacing w:after="0" w:line="240" w:lineRule="auto"/>
        <w:jc w:val="both"/>
        <w:rPr>
          <w:rFonts w:ascii="PvkbpcMmxdkfTimes-Roman" w:hAnsi="PvkbpcMmxdkfTimes-Roman" w:cs="PvkbpcMmxdkfTimes-Roman"/>
          <w:sz w:val="24"/>
          <w:szCs w:val="24"/>
        </w:rPr>
      </w:pPr>
      <w:r w:rsidRPr="000C0CAF">
        <w:rPr>
          <w:rFonts w:ascii="PvkbpcMmxdkfTimes-Roman" w:hAnsi="PvkbpcMmxdkfTimes-Roman" w:cs="PvkbpcMmxdkfTimes-Roman"/>
          <w:sz w:val="24"/>
          <w:szCs w:val="24"/>
        </w:rPr>
        <w:t>Standardsoftware gilt als Sachkauf, für Individualsoftware wird ein Werkvertrag</w:t>
      </w:r>
      <w:r>
        <w:rPr>
          <w:rFonts w:ascii="PvkbpcMmxdkfTimes-Roman" w:hAnsi="PvkbpcMmxdkfTimes-Roman" w:cs="PvkbpcMmxdkfTimes-Roman"/>
          <w:sz w:val="24"/>
          <w:szCs w:val="24"/>
        </w:rPr>
        <w:t xml:space="preserve"> </w:t>
      </w:r>
      <w:r w:rsidRPr="000C0CAF">
        <w:rPr>
          <w:rFonts w:ascii="PvkbpcMmxdkfTimes-Roman" w:hAnsi="PvkbpcMmxdkfTimes-Roman" w:cs="PvkbpcMmxdkfTimes-Roman"/>
          <w:sz w:val="24"/>
          <w:szCs w:val="24"/>
        </w:rPr>
        <w:t>bzw. Werklieferungsvertrag abgeschlossen.</w:t>
      </w:r>
    </w:p>
    <w:p w:rsidR="00AC35AC" w:rsidRPr="000C0CAF" w:rsidRDefault="00AC35AC" w:rsidP="00AC35AC">
      <w:pPr>
        <w:autoSpaceDE w:val="0"/>
        <w:autoSpaceDN w:val="0"/>
        <w:adjustRightInd w:val="0"/>
        <w:spacing w:after="0" w:line="240" w:lineRule="auto"/>
        <w:jc w:val="both"/>
        <w:rPr>
          <w:rFonts w:ascii="PvkbpcMmxdkfTimes-Roman" w:hAnsi="PvkbpcMmxdkfTimes-Roman" w:cs="PvkbpcMmxdkfTimes-Roman"/>
          <w:sz w:val="24"/>
          <w:szCs w:val="24"/>
        </w:rPr>
      </w:pPr>
    </w:p>
    <w:p w:rsidR="00AC35AC" w:rsidRDefault="00AC35AC" w:rsidP="00AC35AC">
      <w:pPr>
        <w:autoSpaceDE w:val="0"/>
        <w:autoSpaceDN w:val="0"/>
        <w:adjustRightInd w:val="0"/>
        <w:spacing w:after="0" w:line="240" w:lineRule="auto"/>
        <w:jc w:val="both"/>
        <w:rPr>
          <w:rFonts w:ascii="PvkbpcMmxdkfTimes-Roman" w:hAnsi="PvkbpcMmxdkfTimes-Roman" w:cs="PvkbpcMmxdkfTimes-Roman"/>
          <w:sz w:val="24"/>
          <w:szCs w:val="24"/>
        </w:rPr>
      </w:pPr>
      <w:r>
        <w:rPr>
          <w:rFonts w:ascii="PvkbpcMmxdkfTimes-Roman" w:hAnsi="PvkbpcMmxdkfTimes-Roman" w:cs="PvkbpcMmxdkfTimes-Roman"/>
          <w:sz w:val="24"/>
          <w:szCs w:val="24"/>
        </w:rPr>
        <w:t xml:space="preserve">Die zentralen </w:t>
      </w:r>
      <w:r w:rsidRPr="000C0CAF">
        <w:rPr>
          <w:rFonts w:ascii="PvkbpcMmxdkfTimes-Roman" w:hAnsi="PvkbpcMmxdkfTimes-Roman" w:cs="PvkbpcMmxdkfTimes-Roman"/>
          <w:sz w:val="24"/>
          <w:szCs w:val="24"/>
        </w:rPr>
        <w:t>Auswahlkriterien für Software sind meist</w:t>
      </w:r>
      <w:r>
        <w:rPr>
          <w:rFonts w:ascii="PvkbpcMmxdkfTimes-Roman" w:hAnsi="PvkbpcMmxdkfTimes-Roman" w:cs="PvkbpcMmxdkfTimes-Roman"/>
          <w:sz w:val="24"/>
          <w:szCs w:val="24"/>
        </w:rPr>
        <w:t>:</w:t>
      </w:r>
    </w:p>
    <w:p w:rsidR="00AC35AC" w:rsidRDefault="00AC35AC" w:rsidP="00AC35AC">
      <w:pPr>
        <w:autoSpaceDE w:val="0"/>
        <w:autoSpaceDN w:val="0"/>
        <w:adjustRightInd w:val="0"/>
        <w:spacing w:after="0" w:line="240" w:lineRule="auto"/>
        <w:jc w:val="both"/>
        <w:rPr>
          <w:rFonts w:ascii="PvkbpcMmxdkfTimes-Roman" w:hAnsi="PvkbpcMmxdkfTimes-Roman" w:cs="PvkbpcMmxdkfTimes-Roman"/>
          <w:sz w:val="24"/>
          <w:szCs w:val="24"/>
        </w:rPr>
      </w:pPr>
    </w:p>
    <w:p w:rsidR="00AC35AC" w:rsidRPr="000C0CAF" w:rsidRDefault="00AC35AC" w:rsidP="00AC35AC">
      <w:pPr>
        <w:autoSpaceDE w:val="0"/>
        <w:autoSpaceDN w:val="0"/>
        <w:adjustRightInd w:val="0"/>
        <w:spacing w:after="0" w:line="240" w:lineRule="auto"/>
        <w:jc w:val="both"/>
        <w:rPr>
          <w:rFonts w:ascii="PvkbpcMmxdkfTimes-Roman" w:hAnsi="PvkbpcMmxdkfTimes-Roman" w:cs="PvkbpcMmxdkfTimes-Roman"/>
          <w:sz w:val="24"/>
          <w:szCs w:val="24"/>
        </w:rPr>
      </w:pPr>
      <w:r w:rsidRPr="000C0CAF">
        <w:rPr>
          <w:rFonts w:ascii="PvkbpcMmxdkfTimes-Roman" w:hAnsi="PvkbpcMmxdkfTimes-Roman" w:cs="PvkbpcMmxdkfTimes-Roman"/>
          <w:sz w:val="24"/>
          <w:szCs w:val="24"/>
        </w:rPr>
        <w:t>die F</w:t>
      </w:r>
      <w:r>
        <w:rPr>
          <w:rFonts w:ascii="PvkbpcMmxdkfTimes-Roman" w:hAnsi="PvkbpcMmxdkfTimes-Roman" w:cs="PvkbpcMmxdkfTimes-Roman"/>
          <w:sz w:val="24"/>
          <w:szCs w:val="24"/>
        </w:rPr>
        <w:t xml:space="preserve">unktion, Kosten, Bedienbarkeit, </w:t>
      </w:r>
      <w:r w:rsidRPr="000C0CAF">
        <w:rPr>
          <w:rFonts w:ascii="PvkbpcMmxdkfTimes-Roman" w:hAnsi="PvkbpcMmxdkfTimes-Roman" w:cs="PvkbpcMmxdkfTimes-Roman"/>
          <w:sz w:val="24"/>
          <w:szCs w:val="24"/>
        </w:rPr>
        <w:t>Schnittstellen von und zu anderer Software, IT-Be</w:t>
      </w:r>
      <w:r>
        <w:rPr>
          <w:rFonts w:ascii="PvkbpcMmxdkfTimes-Roman" w:hAnsi="PvkbpcMmxdkfTimes-Roman" w:cs="PvkbpcMmxdkfTimes-Roman"/>
          <w:sz w:val="24"/>
          <w:szCs w:val="24"/>
        </w:rPr>
        <w:t xml:space="preserve">lastung, Integrationsfähigkeit, </w:t>
      </w:r>
      <w:r w:rsidRPr="000C0CAF">
        <w:rPr>
          <w:rFonts w:ascii="PvkbpcMmxdkfTimes-Roman" w:hAnsi="PvkbpcMmxdkfTimes-Roman" w:cs="PvkbpcMmxdkfTimes-Roman"/>
          <w:sz w:val="24"/>
          <w:szCs w:val="24"/>
        </w:rPr>
        <w:t>Dokumentation, SW-Hersteller, Verbreitungsgrad, Softw</w:t>
      </w:r>
      <w:r>
        <w:rPr>
          <w:rFonts w:ascii="PvkbpcMmxdkfTimes-Roman" w:hAnsi="PvkbpcMmxdkfTimes-Roman" w:cs="PvkbpcMmxdkfTimes-Roman"/>
          <w:sz w:val="24"/>
          <w:szCs w:val="24"/>
        </w:rPr>
        <w:t xml:space="preserve">areupdate, Support, Einfachheit </w:t>
      </w:r>
      <w:r w:rsidRPr="000C0CAF">
        <w:rPr>
          <w:rFonts w:ascii="PvkbpcMmxdkfTimes-Roman" w:hAnsi="PvkbpcMmxdkfTimes-Roman" w:cs="PvkbpcMmxdkfTimes-Roman"/>
          <w:sz w:val="24"/>
          <w:szCs w:val="24"/>
        </w:rPr>
        <w:t>der Installation und Konfiguration, individuelle An</w:t>
      </w:r>
      <w:r>
        <w:rPr>
          <w:rFonts w:ascii="PvkbpcMmxdkfTimes-Roman" w:hAnsi="PvkbpcMmxdkfTimes-Roman" w:cs="PvkbpcMmxdkfTimes-Roman"/>
          <w:sz w:val="24"/>
          <w:szCs w:val="24"/>
        </w:rPr>
        <w:t xml:space="preserve">passbarkeit, Mandantenfähigkeit </w:t>
      </w:r>
      <w:r w:rsidR="00532CDB">
        <w:rPr>
          <w:rFonts w:ascii="PvkbpcMmxdkfTimes-Roman" w:hAnsi="PvkbpcMmxdkfTimes-Roman" w:cs="PvkbpcMmxdkfTimes-Roman"/>
          <w:sz w:val="24"/>
          <w:szCs w:val="24"/>
        </w:rPr>
        <w:t>und IT-Sicherheit.</w:t>
      </w:r>
    </w:p>
    <w:p w:rsidR="00331C6B" w:rsidRDefault="00331C6B"/>
    <w:p w:rsidR="007B56F3" w:rsidRDefault="007B56F3"/>
    <w:p w:rsidR="007B56F3" w:rsidRDefault="007B56F3"/>
    <w:p w:rsidR="007B56F3" w:rsidRDefault="007B56F3"/>
    <w:sectPr w:rsidR="007B56F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4A7" w:rsidRDefault="001224A7" w:rsidP="007B56F3">
      <w:pPr>
        <w:spacing w:after="0" w:line="240" w:lineRule="auto"/>
      </w:pPr>
      <w:r>
        <w:separator/>
      </w:r>
    </w:p>
  </w:endnote>
  <w:endnote w:type="continuationSeparator" w:id="0">
    <w:p w:rsidR="001224A7" w:rsidRDefault="001224A7" w:rsidP="007B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vkbpcMmxdkf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cdlnxFbbjrc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mlssdCldjdq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4A7" w:rsidRDefault="001224A7" w:rsidP="007B56F3">
      <w:pPr>
        <w:spacing w:after="0" w:line="240" w:lineRule="auto"/>
      </w:pPr>
      <w:r>
        <w:separator/>
      </w:r>
    </w:p>
  </w:footnote>
  <w:footnote w:type="continuationSeparator" w:id="0">
    <w:p w:rsidR="001224A7" w:rsidRDefault="001224A7" w:rsidP="007B5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B"/>
    <w:rsid w:val="000C0CAF"/>
    <w:rsid w:val="001224A7"/>
    <w:rsid w:val="00161E9C"/>
    <w:rsid w:val="002B76E7"/>
    <w:rsid w:val="002D7CB0"/>
    <w:rsid w:val="00331C6B"/>
    <w:rsid w:val="00532CDB"/>
    <w:rsid w:val="00563C0D"/>
    <w:rsid w:val="005F4EC7"/>
    <w:rsid w:val="00740B1E"/>
    <w:rsid w:val="007B56F3"/>
    <w:rsid w:val="00935C7A"/>
    <w:rsid w:val="00936B47"/>
    <w:rsid w:val="009A6268"/>
    <w:rsid w:val="00AC35AC"/>
    <w:rsid w:val="00CC2F22"/>
    <w:rsid w:val="00D9589D"/>
    <w:rsid w:val="00F10D1F"/>
    <w:rsid w:val="00F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2ACE21-68EB-48AC-8F62-F2FF976C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F3"/>
  </w:style>
  <w:style w:type="paragraph" w:styleId="Footer">
    <w:name w:val="footer"/>
    <w:basedOn w:val="Normal"/>
    <w:link w:val="FooterChar"/>
    <w:uiPriority w:val="99"/>
    <w:unhideWhenUsed/>
    <w:rsid w:val="007B5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65157-B630-496E-95B9-C74CB551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1674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Dusanic</dc:creator>
  <cp:keywords/>
  <dc:description/>
  <cp:lastModifiedBy>Maja Dusanic</cp:lastModifiedBy>
  <cp:revision>4</cp:revision>
  <dcterms:created xsi:type="dcterms:W3CDTF">2018-10-22T12:36:00Z</dcterms:created>
  <dcterms:modified xsi:type="dcterms:W3CDTF">2018-10-23T12:27:00Z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6812d809-41bc-345d-b70a-0a61133f34b6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