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14715C">
              <w:rPr>
                <w:b/>
                <w:sz w:val="36"/>
              </w:rPr>
              <w:t>2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14715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Non-functional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28300E" w:rsidP="0028300E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 alarm clock should wake up people more silent and </w:t>
            </w:r>
            <w:r w:rsidR="0014715C">
              <w:rPr>
                <w:b/>
                <w:sz w:val="36"/>
              </w:rPr>
              <w:t xml:space="preserve">less </w:t>
            </w:r>
            <w:r>
              <w:rPr>
                <w:b/>
                <w:sz w:val="36"/>
              </w:rPr>
              <w:t>annoying than any already existing alarm clock on the market. This all while not compensating in the effectiveness of the alarm clock.</w:t>
            </w:r>
          </w:p>
        </w:tc>
      </w:tr>
      <w:tr w:rsidR="009A441E" w:rsidTr="0028300E">
        <w:trPr>
          <w:trHeight w:hRule="exact" w:val="99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28300E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A annoying sound can be very uncomfortable for the user, yet we want to succeed in waking them.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 w:rsidTr="0028300E">
        <w:trPr>
          <w:trHeight w:hRule="exact" w:val="802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14715C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99% of the users shouldn’t be awoken abruptly by the alarm clock.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4715C"/>
    <w:rsid w:val="001D0C5A"/>
    <w:rsid w:val="0028300E"/>
    <w:rsid w:val="00405A2C"/>
    <w:rsid w:val="005E33A4"/>
    <w:rsid w:val="006365A8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5C47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