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7DA34346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0CFAF13F" w14:textId="77777777"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1205A54D" w14:textId="77777777"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FF388D" w14:paraId="56077B5A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7B58DF7E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B82E9C6" w14:textId="77777777" w:rsidR="004E3E37" w:rsidRPr="001D4523" w:rsidRDefault="004E3E3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Give each business use case a unique identifier and a name that communicates the functionality.  </w:t>
            </w:r>
          </w:p>
          <w:p w14:paraId="084F144B" w14:textId="77777777" w:rsidR="004E3E37" w:rsidRPr="001D4523" w:rsidRDefault="004E3E3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name should be an active strong verb plus + specific direct object.  </w:t>
            </w:r>
          </w:p>
          <w:p w14:paraId="5CCA4009" w14:textId="77777777" w:rsidR="00FE654B" w:rsidRPr="001D4523" w:rsidRDefault="004E3E3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For example, Record Library Loan, Enroll New Student, Pay Benefit, Generate Sales Report.</w:t>
            </w:r>
          </w:p>
        </w:tc>
      </w:tr>
      <w:tr w:rsidR="001D4523" w:rsidRPr="00FF388D" w14:paraId="62FC3B65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7813FC9D" w14:textId="77777777"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31CF19D5" w14:textId="77777777" w:rsidR="00F54A2C" w:rsidRDefault="000F604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A description of the business event to which the business use case responds.</w:t>
            </w:r>
          </w:p>
          <w:p w14:paraId="711ED186" w14:textId="77777777" w:rsid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A business event is something that happens outside the scope of the business use case or any other organizational work, to which the business use case/work responds.</w:t>
            </w:r>
          </w:p>
          <w:p w14:paraId="4658F704" w14:textId="77777777" w:rsid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A business event takes place outside the scope of the work/organization.</w:t>
            </w:r>
          </w:p>
          <w:p w14:paraId="5E093FAD" w14:textId="77777777" w:rsid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work/organization learns that an event took place through the arrival of some information (trigger). </w:t>
            </w:r>
          </w:p>
          <w:p w14:paraId="23DCA6EB" w14:textId="77777777" w:rsidR="00F54A2C" w:rsidRP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The work/organization will react to this business event following a business use case scenario.</w:t>
            </w:r>
          </w:p>
        </w:tc>
      </w:tr>
      <w:tr w:rsidR="001D4523" w:rsidRPr="00FF388D" w14:paraId="59ECA09E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017F6A1C" w14:textId="77777777"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016748A" w14:textId="77777777" w:rsidR="001D4523" w:rsidRPr="001D4523" w:rsidRDefault="001D4523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data or request for a service that arrives from an external source and triggers a response from the work. </w:t>
            </w:r>
          </w:p>
          <w:p w14:paraId="488186BC" w14:textId="77777777" w:rsidR="001D4523" w:rsidRPr="001D4523" w:rsidRDefault="001D4523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trigger may be the arrival of data from an adjacent systems or from a business actor. </w:t>
            </w:r>
          </w:p>
          <w:p w14:paraId="2C1AACE8" w14:textId="77777777" w:rsidR="00F54A2C" w:rsidRDefault="001D4523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Alternatively, the trigger may be the arrival of the temporal condition that causes the use case to activate for example, the end of the month.</w:t>
            </w:r>
          </w:p>
          <w:p w14:paraId="166810E8" w14:textId="77777777" w:rsidR="00F54A2C" w:rsidRPr="00F54A2C" w:rsidRDefault="00F54A2C" w:rsidP="00F54A2C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Happen when a pre-arranged time is reached ...</w:t>
            </w:r>
          </w:p>
          <w:p w14:paraId="315D58D8" w14:textId="77777777" w:rsidR="00F54A2C" w:rsidRPr="00F54A2C" w:rsidRDefault="00F54A2C" w:rsidP="00F54A2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 periodic occurrence (e.g. 0 a.m. every day), </w:t>
            </w:r>
          </w:p>
          <w:p w14:paraId="652611A9" w14:textId="77777777" w:rsidR="00F54A2C" w:rsidRPr="00F54A2C" w:rsidRDefault="00F54A2C" w:rsidP="00F54A2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 fixed time interval (e.g.24 hours since last occurrence) </w:t>
            </w:r>
          </w:p>
          <w:p w14:paraId="00806D45" w14:textId="77777777" w:rsidR="00F54A2C" w:rsidRPr="00FB0C37" w:rsidRDefault="00F54A2C" w:rsidP="00F54A2C">
            <w:pPr>
              <w:numPr>
                <w:ilvl w:val="0"/>
                <w:numId w:val="27"/>
              </w:num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54A2C">
              <w:rPr>
                <w:rFonts w:asciiTheme="minorHAnsi" w:hAnsiTheme="minorHAnsi"/>
                <w:sz w:val="22"/>
                <w:szCs w:val="22"/>
                <w:lang w:val="en-US"/>
              </w:rPr>
              <w:t>a certain amount of time elapsing since another business event (30 days after sending an invoice.)</w:t>
            </w:r>
          </w:p>
        </w:tc>
      </w:tr>
      <w:tr w:rsidR="005463E2" w:rsidRPr="00FF388D" w14:paraId="64C73A0F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65DAC236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4597DBE" w14:textId="77777777" w:rsidR="005463E2" w:rsidRPr="001D4523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Sometimes certain conditions must be true before the use case can be executed. For example, a customer has to be registered before he can access his frequent-flyer statement. </w:t>
            </w:r>
          </w:p>
          <w:p w14:paraId="4839999F" w14:textId="77777777"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Note that another business use case usually takes care of the precondition. In the preceding example, the customer would have registered using the Register Passenger use case.</w:t>
            </w:r>
          </w:p>
        </w:tc>
      </w:tr>
      <w:tr w:rsidR="005463E2" w:rsidRPr="005463E2" w14:paraId="2F6DBC5C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4A0B2E5C" w14:textId="77777777" w:rsidR="005463E2" w:rsidRDefault="005463E2" w:rsidP="005532F8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Interested stakeholders</w:t>
            </w:r>
          </w:p>
          <w:p w14:paraId="29FE6241" w14:textId="77777777" w:rsidR="005463E2" w:rsidRPr="00F54A2C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Secondary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F0C217F" w14:textId="77777777"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Stakeholders, actors indirectly involved</w:t>
            </w:r>
          </w:p>
        </w:tc>
      </w:tr>
      <w:tr w:rsidR="00AD3755" w:rsidRPr="00FF388D" w14:paraId="5537FB6A" w14:textId="77777777" w:rsidTr="00CE7174">
        <w:trPr>
          <w:trHeight w:val="196"/>
        </w:trPr>
        <w:tc>
          <w:tcPr>
            <w:tcW w:w="2631" w:type="dxa"/>
            <w:shd w:val="clear" w:color="auto" w:fill="auto"/>
          </w:tcPr>
          <w:p w14:paraId="1FDFEA3E" w14:textId="77777777" w:rsidR="00AD3755" w:rsidRPr="005463E2" w:rsidRDefault="00AD375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Active stakeholders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6C2A17AD" w14:textId="77777777" w:rsidR="00AD3755" w:rsidRPr="005463E2" w:rsidRDefault="00AD375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463E2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people, organizations, and/or computer systems that take an active part in the process. </w:t>
            </w:r>
          </w:p>
          <w:p w14:paraId="25DB28CF" w14:textId="77777777" w:rsidR="00AD3755" w:rsidRPr="005463E2" w:rsidRDefault="00AD375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463E2">
              <w:rPr>
                <w:rFonts w:asciiTheme="minorHAnsi" w:hAnsiTheme="minorHAnsi"/>
                <w:sz w:val="22"/>
                <w:szCs w:val="22"/>
                <w:lang w:val="en-US"/>
              </w:rPr>
              <w:t>Don't think about users just yet; instead, think of the real people who are involved in the work of the business use case.</w:t>
            </w:r>
          </w:p>
          <w:p w14:paraId="63B94279" w14:textId="77777777" w:rsidR="00AD3755" w:rsidRPr="00FB0C37" w:rsidRDefault="00AD3755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463E2">
              <w:rPr>
                <w:rFonts w:asciiTheme="minorHAnsi" w:hAnsiTheme="minorHAnsi"/>
                <w:sz w:val="22"/>
                <w:szCs w:val="22"/>
                <w:lang w:val="en-US"/>
              </w:rPr>
              <w:t>The people, organizations, and/or representatives of computer systems who have knowledge necessary to specify this use case or who have an interest in this use case.</w:t>
            </w:r>
          </w:p>
        </w:tc>
      </w:tr>
      <w:tr w:rsidR="00FC0DC5" w:rsidRPr="00FC0DC5" w14:paraId="678826EB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5FB4FB15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3D112BD9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56CBE7CA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FF388D" w14:paraId="08C3CC90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D49ECD8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81014C0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2BF8F460" w14:textId="77777777" w:rsidR="00FC0DC5" w:rsidRPr="00FC0DC5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 normal business flow should describe the normal &amp; most used path of the business performing the process.</w:t>
            </w:r>
          </w:p>
        </w:tc>
      </w:tr>
      <w:tr w:rsidR="00FC0DC5" w:rsidRPr="001D4523" w14:paraId="65D707F9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5A8B60F1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012D2F8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5D3450A1" w14:textId="77777777" w:rsidR="00FC0DC5" w:rsidRPr="001D4523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Typical flow should look like:</w:t>
            </w:r>
          </w:p>
          <w:p w14:paraId="3B0616D7" w14:textId="77777777" w:rsidR="00FC0DC5" w:rsidRPr="001D4523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Business actor  X  does action ...</w:t>
            </w:r>
          </w:p>
          <w:p w14:paraId="73A71496" w14:textId="77777777" w:rsidR="00FC0DC5" w:rsidRPr="001D4523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Business actor  Y  does action ...</w:t>
            </w:r>
          </w:p>
          <w:p w14:paraId="6BCDC091" w14:textId="77777777" w:rsidR="00FC0DC5" w:rsidRPr="001D4523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Business actor  X  does action ...</w:t>
            </w:r>
          </w:p>
          <w:p w14:paraId="4F61611A" w14:textId="77777777" w:rsidR="00FC0DC5" w:rsidRPr="00FC0DC5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. . . </w:t>
            </w:r>
          </w:p>
        </w:tc>
      </w:tr>
      <w:tr w:rsidR="00FC0DC5" w:rsidRPr="00FF388D" w14:paraId="36B6767C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559BA05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E420E22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272510A9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Typical step should look like: Business actor + active verb + a specific direct object.</w:t>
            </w:r>
          </w:p>
          <w:p w14:paraId="53FCE2DC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Write clear, unambiguous steps that are understandable to all stakeholders related to the project. </w:t>
            </w:r>
          </w:p>
          <w:p w14:paraId="2797E5FE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Do not mention the system in the business use case.</w:t>
            </w:r>
          </w:p>
          <w:p w14:paraId="095F1379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Adapt a ‘sunny day’ strategy for elaborating business processes. Thus start with modeling the primary flow.  Address branching, concurrency and exceptions as secondary considerations.</w:t>
            </w:r>
          </w:p>
          <w:p w14:paraId="1F7AC667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There are usually between three and fifteen steps.</w:t>
            </w:r>
          </w:p>
          <w:p w14:paraId="441A0ECC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Each step must make the actor move forward in fulfilling his goal.</w:t>
            </w:r>
          </w:p>
        </w:tc>
      </w:tr>
      <w:tr w:rsidR="00FC0DC5" w:rsidRPr="001D4523" w14:paraId="435C73A1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EC4CBD" w14:textId="77777777" w:rsidR="00FC0DC5" w:rsidRPr="001D4523" w:rsidRDefault="00FC0DC5" w:rsidP="00FB0C3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448B265" w14:textId="77777777"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03F0AE54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14:paraId="5F6D2F2E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CCCBA49" w14:textId="77777777" w:rsidR="00FC0DC5" w:rsidRPr="001D4523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65135158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31247A1B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FF388D" w14:paraId="51071BE8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AB7DB96" w14:textId="77777777" w:rsidR="00FC0DC5" w:rsidRPr="00FC0DC5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A700E90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37EB9AEE" w14:textId="77777777"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Alternatives are acceptable variations on the</w:t>
            </w: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 xml:space="preserve">normal case of processing/proceeding. </w:t>
            </w:r>
          </w:p>
          <w:p w14:paraId="64A37699" w14:textId="77777777"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If the alternative action is simple, you can make it part of the normal Flow: </w:t>
            </w:r>
          </w:p>
          <w:p w14:paraId="6E09B920" w14:textId="77777777"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Step 4. Attach the frequent-flyer number to the reservation.</w:t>
            </w:r>
          </w:p>
          <w:p w14:paraId="060FEFE6" w14:textId="77777777" w:rsidR="00AF6696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Alternative 4.1 Issue a lounge invitation if the passenger holds a gold card. </w:t>
            </w:r>
          </w:p>
          <w:p w14:paraId="2C72F3FE" w14:textId="77777777" w:rsidR="00FC0DC5" w:rsidRPr="00FC0DC5" w:rsidRDefault="000F604C" w:rsidP="002628F1">
            <w:pPr>
              <w:keepNext/>
              <w:keepLines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Tag each alternative to the appropriate step + define condition for alternative clearly.</w:t>
            </w:r>
          </w:p>
        </w:tc>
      </w:tr>
      <w:tr w:rsidR="00FC0DC5" w:rsidRPr="001D4523" w14:paraId="4247FCF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8C67BCF" w14:textId="77777777"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1887697" w14:textId="77777777" w:rsidR="00FC0DC5" w:rsidRPr="00FC0DC5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3B3A2FC9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14:paraId="1C6416F4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BFC254" w14:textId="77777777"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D8EF85D" w14:textId="77777777"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70DAFE8B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14:paraId="448E5F96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D15D3E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</w:t>
            </w:r>
            <w:r w:rsid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2DBC1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558D9" w14:textId="77777777" w:rsidR="00FC0DC5" w:rsidRPr="00FC0DC5" w:rsidRDefault="00FC0DC5" w:rsidP="005463E2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FF388D" w14:paraId="5226916C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5E6C5" w14:textId="77777777" w:rsidR="00FC0DC5" w:rsidRPr="00FC0DC5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2CEEA" w14:textId="77777777" w:rsidR="00FC0DC5" w:rsidRPr="00FC0DC5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89516" w14:textId="77777777" w:rsidR="00AF6696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These are unwanted but necessary variations. </w:t>
            </w:r>
          </w:p>
          <w:p w14:paraId="3DAC6208" w14:textId="77777777" w:rsidR="00AF6696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For example, a customer may have insufficient funds for a withdrawal at an ATM. In this case, the procedure has to offer a lower amount, or offer a loan, or do whatever the stakeholders decide is appropriate. </w:t>
            </w:r>
          </w:p>
          <w:p w14:paraId="19399C1C" w14:textId="77777777" w:rsidR="00FC0DC5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Tag each exception to the appropriate step + define condition for exception</w:t>
            </w: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clearly.</w:t>
            </w:r>
          </w:p>
        </w:tc>
      </w:tr>
      <w:tr w:rsidR="002473A4" w:rsidRPr="001D4523" w14:paraId="3A487B31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5BF5E" w14:textId="77777777"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3889" w14:textId="77777777" w:rsidR="002473A4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4D33C" w14:textId="77777777" w:rsidR="002473A4" w:rsidRPr="00FC0DC5" w:rsidRDefault="002473A4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473A4" w:rsidRPr="00FF388D" w14:paraId="0929A376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ACAD7" w14:textId="77777777"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44AE1" w14:textId="77777777" w:rsidR="002473A4" w:rsidRPr="00FC0DC5" w:rsidRDefault="002473A4" w:rsidP="002473A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sz w:val="22"/>
                <w:szCs w:val="22"/>
                <w:lang w:val="en-US"/>
              </w:rPr>
              <w:t>The desired situation at the end of this use case. Think of it as the stake</w:t>
            </w:r>
          </w:p>
        </w:tc>
      </w:tr>
    </w:tbl>
    <w:p w14:paraId="1D7093F3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14:paraId="02E89FF5" w14:textId="77777777"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  <w:bookmarkStart w:id="0" w:name="_GoBack"/>
      <w:bookmarkEnd w:id="0"/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6D6AA" w14:textId="77777777" w:rsidR="008E3864" w:rsidRDefault="008E3864">
      <w:r>
        <w:separator/>
      </w:r>
    </w:p>
  </w:endnote>
  <w:endnote w:type="continuationSeparator" w:id="0">
    <w:p w14:paraId="7A075E80" w14:textId="77777777" w:rsidR="008E3864" w:rsidRDefault="008E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E6A9A" w14:textId="72C13137"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FF388D">
      <w:rPr>
        <w:noProof/>
        <w:sz w:val="16"/>
        <w:szCs w:val="16"/>
        <w:lang w:val="en-US" w:eastAsia="nl-BE"/>
      </w:rPr>
      <w:t>WK04 - 01 - SWA1920 - System and System Context - BUC - 01 Description Template v2 - explained.docx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1C127D">
      <w:rPr>
        <w:noProof/>
        <w:sz w:val="16"/>
        <w:szCs w:val="16"/>
        <w:lang w:val="en-US"/>
      </w:rPr>
      <w:t>1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1C127D">
      <w:rPr>
        <w:noProof/>
        <w:sz w:val="16"/>
        <w:szCs w:val="16"/>
        <w:lang w:val="en-US"/>
      </w:rPr>
      <w:t>3</w:t>
    </w:r>
    <w:r w:rsidRPr="0057173C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43EDE" w14:textId="77777777" w:rsidR="008E3864" w:rsidRDefault="008E3864">
      <w:r>
        <w:separator/>
      </w:r>
    </w:p>
  </w:footnote>
  <w:footnote w:type="continuationSeparator" w:id="0">
    <w:p w14:paraId="6B2B8AAB" w14:textId="77777777" w:rsidR="008E3864" w:rsidRDefault="008E3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771C9779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827EE7B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0EF4C006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E7769C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262157E6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835E845" w14:textId="6E5B7716" w:rsidR="006A5B9C" w:rsidRDefault="00FF388D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5F47510" wp14:editId="53EB8866">
                <wp:extent cx="1079086" cy="329213"/>
                <wp:effectExtent l="0" t="0" r="6985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_Extra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6" cy="32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EBF931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7371E"/>
    <w:rsid w:val="0019125D"/>
    <w:rsid w:val="001A2BFC"/>
    <w:rsid w:val="001B09ED"/>
    <w:rsid w:val="001B68B3"/>
    <w:rsid w:val="001C127D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7173C"/>
    <w:rsid w:val="00580CE8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864"/>
    <w:rsid w:val="008E3EB6"/>
    <w:rsid w:val="008F009B"/>
    <w:rsid w:val="008F73F3"/>
    <w:rsid w:val="00967018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82DBE"/>
    <w:rsid w:val="00AA27A2"/>
    <w:rsid w:val="00AB5A51"/>
    <w:rsid w:val="00AD3755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3459C6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F85E1-AB96-4C09-8D0C-5F3EE8D6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7</cp:revision>
  <cp:lastPrinted>2017-10-09T09:22:00Z</cp:lastPrinted>
  <dcterms:created xsi:type="dcterms:W3CDTF">2016-10-14T08:05:00Z</dcterms:created>
  <dcterms:modified xsi:type="dcterms:W3CDTF">2019-10-06T13:53:00Z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2019-10-06T13:53:44.6630819Z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d9a75e5d-5b5b-4097-9b23-f8e93469e3e0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