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Telco Customer Churn: Retention Strategy Executive Summary</w:t>
      </w:r>
    </w:p>
    <w:p>
      <w:pPr>
        <w:pStyle w:val="Heading1"/>
      </w:pPr>
      <w:r>
        <w:t>1. Project Objective &amp; Business Challenge</w:t>
      </w:r>
    </w:p>
    <w:p>
      <w:r>
        <w:t>The goal of this initiative was to design a data-driven customer retention framework. Historically, retention campaigns either over-target users who would have stayed anyway, or waste budget on customers with low projected lifetime value (CLTV).</w:t>
      </w:r>
    </w:p>
    <w:p>
      <w:r>
        <w:t>Management required a strategy that enforces two strict financial constraints:</w:t>
        <w:br/>
      </w:r>
      <w:r>
        <w:rPr>
          <w:b/>
        </w:rPr>
        <w:t xml:space="preserve">1. Maximum Budget: </w:t>
      </w:r>
      <w:r>
        <w:t>$200,000 max spend at $50 per intervention.</w:t>
        <w:br/>
      </w:r>
      <w:r>
        <w:rPr>
          <w:b/>
        </w:rPr>
        <w:t xml:space="preserve">2. Financial Efficiency: </w:t>
      </w:r>
      <w:r>
        <w:t>A minimum Return on Investment (ROI) of 2.0x.</w:t>
      </w:r>
    </w:p>
    <w:p>
      <w:pPr>
        <w:pStyle w:val="Heading1"/>
      </w:pPr>
      <w:r>
        <w:t>2. Methodology: Predictive ML Meets Financial Mathematics</w:t>
      </w:r>
    </w:p>
    <w:p>
      <w:r>
        <w:t>To solve this, we combined Machine Learning with expected-value business logic:</w:t>
      </w:r>
    </w:p>
    <w:p>
      <w:pPr>
        <w:pStyle w:val="ListBullet"/>
      </w:pPr>
      <w:r>
        <w:rPr>
          <w:b/>
        </w:rPr>
        <w:t xml:space="preserve">Probability Calibration (XGBoost): </w:t>
      </w:r>
      <w:r>
        <w:t>We trained an XGBoost classification algorithm to identify churn risks. Crucially, the model's raw probability outputs were mathematically calibrated against a real-world holdout dataset to provide true, undiscarded likelihoods of churn, avoiding over-prediction bias.</w:t>
      </w:r>
    </w:p>
    <w:p>
      <w:pPr>
        <w:pStyle w:val="ListBullet"/>
      </w:pPr>
      <w:r>
        <w:rPr>
          <w:b/>
        </w:rPr>
        <w:t xml:space="preserve">Expected Incremental Profit (EIP) Framework: </w:t>
      </w:r>
      <w:r>
        <w:t>Instead of just targeting the highest churn risks or the highest CLTV users, we targeted based on Expected Incremental Profit. For every candidate, we calculated:</w:t>
        <w:br/>
      </w:r>
      <w:r>
        <w:rPr>
          <w:i/>
        </w:rPr>
        <w:t>(Calibrated Churn Probability × 8% Assumed Save Rate × CLTV) - $50 Intervention Cost</w:t>
      </w:r>
    </w:p>
    <w:p>
      <w:pPr>
        <w:pStyle w:val="IntenseQuote"/>
      </w:pPr>
      <w:r>
        <w:t>Note: We stress-tested our assumption down to an 8% intervention success rate to align with conservative Telco industry benchmarks.</w:t>
      </w:r>
    </w:p>
    <w:p>
      <w:pPr>
        <w:pStyle w:val="Heading1"/>
      </w:pPr>
      <w:r>
        <w:t>3. Recommended Optimization Strategy</w:t>
      </w:r>
    </w:p>
    <w:p>
      <w:r>
        <w:t>By rank-ordering all eligible customers descending by their calculated EIP, we strictly filtered out any customer yielding a negative expected profit. Our final optimized portfolio yields the following projected metrics: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Business KPI</w:t>
            </w:r>
          </w:p>
        </w:tc>
      </w:tr>
      <w:tr>
        <w:tc>
          <w:tcPr>
            <w:tcW w:type="dxa" w:w="4320"/>
          </w:tcPr>
          <w:p>
            <w:r>
              <w:t>Customers Targeted</w:t>
            </w:r>
          </w:p>
        </w:tc>
        <w:tc>
          <w:tcPr>
            <w:tcW w:type="dxa" w:w="4320"/>
          </w:tcPr>
          <w:p>
            <w:r>
              <w:t>829 Users</w:t>
            </w:r>
          </w:p>
        </w:tc>
      </w:tr>
      <w:tr>
        <w:tc>
          <w:tcPr>
            <w:tcW w:type="dxa" w:w="4320"/>
          </w:tcPr>
          <w:p>
            <w:r>
              <w:t>Total Intervention Budget</w:t>
            </w:r>
          </w:p>
        </w:tc>
        <w:tc>
          <w:tcPr>
            <w:tcW w:type="dxa" w:w="4320"/>
          </w:tcPr>
          <w:p>
            <w:r>
              <w:t>$41,450.00</w:t>
            </w:r>
          </w:p>
        </w:tc>
      </w:tr>
      <w:tr>
        <w:tc>
          <w:tcPr>
            <w:tcW w:type="dxa" w:w="4320"/>
          </w:tcPr>
          <w:p>
            <w:r>
              <w:t>Projected Incremental Profit</w:t>
            </w:r>
          </w:p>
        </w:tc>
        <w:tc>
          <w:tcPr>
            <w:tcW w:type="dxa" w:w="4320"/>
          </w:tcPr>
          <w:p>
            <w:r>
              <w:t>$76,440.87</w:t>
            </w:r>
          </w:p>
        </w:tc>
      </w:tr>
      <w:tr>
        <w:tc>
          <w:tcPr>
            <w:tcW w:type="dxa" w:w="4320"/>
          </w:tcPr>
          <w:p>
            <w:r>
              <w:t>Projected ROI</w:t>
            </w:r>
          </w:p>
        </w:tc>
        <w:tc>
          <w:tcPr>
            <w:tcW w:type="dxa" w:w="4320"/>
          </w:tcPr>
          <w:p>
            <w:r>
              <w:t>2.84x</w:t>
            </w:r>
          </w:p>
        </w:tc>
      </w:tr>
    </w:tbl>
    <w:p>
      <w:pPr>
        <w:pStyle w:val="Heading3"/>
      </w:pPr>
      <w:r>
        <w:t>Constraint Validations:</w:t>
      </w:r>
    </w:p>
    <w:p>
      <w:pPr>
        <w:pStyle w:val="ListBullet"/>
      </w:pPr>
      <w:r>
        <w:rPr>
          <w:b/>
        </w:rPr>
        <w:t xml:space="preserve">Budget Constraint: </w:t>
      </w:r>
      <w:r>
        <w:t>Handled. The $41,450 projected spend leaves $158,550 of the $200k max budget unexposed, preventing over-commitment to low-profit interventions.</w:t>
      </w:r>
    </w:p>
    <w:p>
      <w:pPr>
        <w:pStyle w:val="ListBullet"/>
      </w:pPr>
      <w:r>
        <w:rPr>
          <w:b/>
        </w:rPr>
        <w:t xml:space="preserve">ROI Constraint: </w:t>
      </w:r>
      <w:r>
        <w:t>Exceeded. The 2.84x realized ROI easily passes the &gt;= 2.0x managerial limit.</w:t>
      </w:r>
    </w:p>
    <w:p>
      <w:pPr>
        <w:pStyle w:val="Heading1"/>
      </w:pPr>
      <w:r>
        <w:t>4. Financial Impact (Optimized vs Baseline)</w:t>
      </w:r>
    </w:p>
    <w:p>
      <w:r>
        <w:t>If we were to blindly spend the exact same $41,450 budget by targeting the customers with the highest historical CLTV (a common legacy business heuristic), the results would be measurably inferior: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Total Spend</w:t>
            </w:r>
          </w:p>
        </w:tc>
        <w:tc>
          <w:tcPr>
            <w:tcW w:type="dxa" w:w="2160"/>
          </w:tcPr>
          <w:p>
            <w:r>
              <w:t>Expected Profit</w:t>
            </w:r>
          </w:p>
        </w:tc>
        <w:tc>
          <w:tcPr>
            <w:tcW w:type="dxa" w:w="2160"/>
          </w:tcPr>
          <w:p>
            <w:r>
              <w:t>ROI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AI-Optimized (EIP Ranking)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$41,450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$76,441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2.84x</w:t>
            </w:r>
          </w:p>
        </w:tc>
      </w:tr>
      <w:tr>
        <w:tc>
          <w:tcPr>
            <w:tcW w:type="dxa" w:w="2160"/>
          </w:tcPr>
          <w:p>
            <w:r>
              <w:t>Baseline (Top CLTV Ranking)</w:t>
            </w:r>
          </w:p>
        </w:tc>
        <w:tc>
          <w:tcPr>
            <w:tcW w:type="dxa" w:w="2160"/>
          </w:tcPr>
          <w:p>
            <w:r>
              <w:t>$41,450</w:t>
            </w:r>
          </w:p>
        </w:tc>
        <w:tc>
          <w:tcPr>
            <w:tcW w:type="dxa" w:w="2160"/>
          </w:tcPr>
          <w:p>
            <w:r>
              <w:t>$63,108</w:t>
            </w:r>
          </w:p>
        </w:tc>
        <w:tc>
          <w:tcPr>
            <w:tcW w:type="dxa" w:w="2160"/>
          </w:tcPr>
          <w:p>
            <w:r>
              <w:t>2.52x</w:t>
            </w:r>
          </w:p>
        </w:tc>
      </w:tr>
    </w:tbl>
    <w:p>
      <w:r>
        <w:br/>
      </w:r>
      <w:r>
        <w:rPr>
          <w:b/>
        </w:rPr>
        <w:t xml:space="preserve">The Bottom Line: </w:t>
      </w:r>
      <w:r>
        <w:t xml:space="preserve">By deploying the machine learning framework to target via Expected Incremental Profit, the company achieves </w:t>
      </w:r>
      <w:r>
        <w:rPr>
          <w:b/>
        </w:rPr>
        <w:t xml:space="preserve">an additional $13,333 (+21% lift) </w:t>
      </w:r>
      <w:r>
        <w:t>in pure profit generated from the exact same block of marketing spend.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