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307" w:type="dxa"/>
        <w:tblCellMar>
          <w:top w:w="6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6321"/>
        <w:gridCol w:w="1699"/>
      </w:tblGrid>
      <w:tr w:rsidR="007A4082" w14:paraId="652D9BDA" w14:textId="77777777" w:rsidTr="002C1D22">
        <w:trPr>
          <w:trHeight w:val="40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F1DC" w14:textId="77777777" w:rsidR="007A4082" w:rsidRDefault="007A4082" w:rsidP="002C1D22">
            <w:pPr>
              <w:ind w:left="120"/>
            </w:pPr>
            <w:r>
              <w:rPr>
                <w:rFonts w:eastAsia="Times New Roman" w:cs="Times New Roman"/>
              </w:rPr>
              <w:t xml:space="preserve">AGH, WIET 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5E2A" w14:textId="77777777" w:rsidR="007A4082" w:rsidRDefault="007A4082" w:rsidP="002C1D22">
            <w:pPr>
              <w:ind w:left="173"/>
            </w:pPr>
            <w:r>
              <w:rPr>
                <w:rFonts w:eastAsia="Times New Roman" w:cs="Times New Roman"/>
                <w:b/>
              </w:rPr>
              <w:t xml:space="preserve">ELEMENTY ELEKTRONICZNE – LABORATORIUM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318C" w14:textId="77777777" w:rsidR="007A4082" w:rsidRDefault="007A4082" w:rsidP="002C1D22">
            <w:proofErr w:type="spellStart"/>
            <w:r>
              <w:rPr>
                <w:rFonts w:eastAsia="Times New Roman" w:cs="Times New Roman"/>
                <w:sz w:val="18"/>
              </w:rPr>
              <w:t>Kierunek</w:t>
            </w:r>
            <w:proofErr w:type="spellEnd"/>
            <w:r>
              <w:rPr>
                <w:rFonts w:eastAsia="Times New Roman" w:cs="Times New Roman"/>
                <w:sz w:val="18"/>
              </w:rPr>
              <w:t xml:space="preserve">: </w:t>
            </w:r>
            <w:proofErr w:type="spellStart"/>
            <w:r>
              <w:rPr>
                <w:rFonts w:eastAsia="Times New Roman" w:cs="Times New Roman"/>
              </w:rPr>
              <w:t>EiT</w:t>
            </w:r>
            <w:proofErr w:type="spellEnd"/>
          </w:p>
        </w:tc>
      </w:tr>
      <w:tr w:rsidR="007A4082" w14:paraId="00850C5F" w14:textId="77777777" w:rsidTr="002C1D22">
        <w:trPr>
          <w:trHeight w:val="97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EBCA" w14:textId="77777777" w:rsidR="007A4082" w:rsidRDefault="007A4082" w:rsidP="002C1D22">
            <w:r>
              <w:rPr>
                <w:rFonts w:eastAsia="Times New Roman" w:cs="Times New Roman"/>
                <w:sz w:val="18"/>
              </w:rPr>
              <w:t xml:space="preserve">Nr </w:t>
            </w:r>
            <w:proofErr w:type="spellStart"/>
            <w:r>
              <w:rPr>
                <w:rFonts w:eastAsia="Times New Roman" w:cs="Times New Roman"/>
                <w:sz w:val="18"/>
              </w:rPr>
              <w:t>ćwiczenia</w:t>
            </w:r>
            <w:proofErr w:type="spellEnd"/>
            <w:r>
              <w:rPr>
                <w:rFonts w:eastAsia="Times New Roman" w:cs="Times New Roman"/>
                <w:sz w:val="18"/>
              </w:rPr>
              <w:t xml:space="preserve">: </w:t>
            </w:r>
          </w:p>
          <w:p w14:paraId="012265F3" w14:textId="77777777" w:rsidR="007A4082" w:rsidRDefault="007A4082" w:rsidP="002C1D22">
            <w:pPr>
              <w:rPr>
                <w:rFonts w:eastAsia="Times New Roman" w:cs="Times New Roman"/>
                <w:b/>
                <w:sz w:val="18"/>
              </w:rPr>
            </w:pPr>
            <w:r>
              <w:rPr>
                <w:rFonts w:eastAsia="Times New Roman" w:cs="Times New Roman"/>
                <w:b/>
                <w:sz w:val="18"/>
              </w:rPr>
              <w:t xml:space="preserve"> </w:t>
            </w:r>
          </w:p>
          <w:p w14:paraId="1FADCC48" w14:textId="4E30A476" w:rsidR="007A4082" w:rsidRPr="005A0BDF" w:rsidRDefault="007A4082" w:rsidP="002C1D22">
            <w:pPr>
              <w:rPr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18"/>
              </w:rPr>
              <w:t xml:space="preserve">         8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B80D" w14:textId="77777777" w:rsidR="007A4082" w:rsidRPr="002A29BF" w:rsidRDefault="007A4082" w:rsidP="002C1D22">
            <w:pPr>
              <w:spacing w:after="77"/>
              <w:ind w:left="2"/>
              <w:rPr>
                <w:rFonts w:eastAsia="Times New Roman" w:cs="Times New Roman"/>
                <w:sz w:val="18"/>
                <w:lang w:val="pl-PL"/>
              </w:rPr>
            </w:pPr>
            <w:r w:rsidRPr="002A29BF">
              <w:rPr>
                <w:rFonts w:eastAsia="Times New Roman" w:cs="Times New Roman"/>
                <w:sz w:val="18"/>
                <w:lang w:val="pl-PL"/>
              </w:rPr>
              <w:t>Temat:</w:t>
            </w:r>
          </w:p>
          <w:p w14:paraId="56DBC484" w14:textId="7AD56FFE" w:rsidR="007A4082" w:rsidRPr="002A29BF" w:rsidRDefault="007A4082" w:rsidP="002C1D22">
            <w:pPr>
              <w:ind w:left="2"/>
              <w:rPr>
                <w:bCs/>
                <w:lang w:val="pl-PL"/>
              </w:rPr>
            </w:pPr>
            <w:r w:rsidRPr="002A29BF">
              <w:rPr>
                <w:rFonts w:eastAsia="Times New Roman" w:cs="Times New Roman"/>
                <w:b/>
                <w:sz w:val="28"/>
                <w:lang w:val="pl-PL"/>
              </w:rPr>
              <w:t xml:space="preserve"> </w:t>
            </w:r>
            <w:r>
              <w:rPr>
                <w:bCs/>
                <w:sz w:val="28"/>
                <w:lang w:val="pl-PL"/>
              </w:rPr>
              <w:t>Przełączanie diod i tranzystorów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F2CA" w14:textId="77777777" w:rsidR="007A4082" w:rsidRDefault="007A4082" w:rsidP="002C1D22">
            <w:proofErr w:type="spellStart"/>
            <w:r>
              <w:rPr>
                <w:rFonts w:eastAsia="Times New Roman" w:cs="Times New Roman"/>
                <w:sz w:val="18"/>
              </w:rPr>
              <w:t>Ocena</w:t>
            </w:r>
            <w:proofErr w:type="spellEnd"/>
            <w:r>
              <w:rPr>
                <w:rFonts w:eastAsia="Times New Roman" w:cs="Times New Roman"/>
                <w:sz w:val="18"/>
              </w:rPr>
              <w:t xml:space="preserve">: </w:t>
            </w:r>
          </w:p>
        </w:tc>
      </w:tr>
      <w:tr w:rsidR="007A4082" w:rsidRPr="008E0682" w14:paraId="4EBA460C" w14:textId="77777777" w:rsidTr="002C1D22">
        <w:trPr>
          <w:trHeight w:val="9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5BF3" w14:textId="77777777" w:rsidR="007A4082" w:rsidRDefault="007A4082" w:rsidP="002C1D22">
            <w:pPr>
              <w:ind w:right="166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 xml:space="preserve">Data </w:t>
            </w:r>
            <w:proofErr w:type="spellStart"/>
            <w:r>
              <w:rPr>
                <w:rFonts w:eastAsia="Times New Roman" w:cs="Times New Roman"/>
                <w:sz w:val="18"/>
              </w:rPr>
              <w:t>wykonania</w:t>
            </w:r>
            <w:proofErr w:type="spellEnd"/>
            <w:r>
              <w:rPr>
                <w:rFonts w:eastAsia="Times New Roman" w:cs="Times New Roman"/>
                <w:sz w:val="18"/>
              </w:rPr>
              <w:t xml:space="preserve">: </w:t>
            </w:r>
          </w:p>
          <w:p w14:paraId="0C2C3F0A" w14:textId="77777777" w:rsidR="007A4082" w:rsidRDefault="007A4082" w:rsidP="002C1D22">
            <w:pPr>
              <w:ind w:right="166"/>
              <w:rPr>
                <w:rFonts w:eastAsia="Times New Roman" w:cs="Times New Roman"/>
                <w:sz w:val="28"/>
              </w:rPr>
            </w:pPr>
          </w:p>
          <w:p w14:paraId="187B25BC" w14:textId="36E7CD5C" w:rsidR="007A4082" w:rsidRDefault="007A4082" w:rsidP="002C1D22">
            <w:pPr>
              <w:ind w:right="166"/>
            </w:pPr>
            <w:r>
              <w:rPr>
                <w:rFonts w:eastAsia="Times New Roman" w:cs="Times New Roman"/>
                <w:sz w:val="28"/>
              </w:rPr>
              <w:t>1</w:t>
            </w:r>
            <w:r w:rsidR="005B1422">
              <w:rPr>
                <w:rFonts w:eastAsia="Times New Roman" w:cs="Times New Roman"/>
                <w:sz w:val="28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.06.2023 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56E1" w14:textId="77777777" w:rsidR="007A4082" w:rsidRPr="00F0726A" w:rsidRDefault="007A4082" w:rsidP="002C1D22">
            <w:pPr>
              <w:spacing w:after="75"/>
              <w:ind w:left="2"/>
              <w:rPr>
                <w:rFonts w:cs="Times New Roman"/>
                <w:lang w:val="pl-PL"/>
              </w:rPr>
            </w:pPr>
            <w:r w:rsidRPr="00F0726A">
              <w:rPr>
                <w:rFonts w:eastAsia="Times New Roman" w:cs="Times New Roman"/>
                <w:sz w:val="18"/>
                <w:lang w:val="pl-PL"/>
              </w:rPr>
              <w:t xml:space="preserve">Imię i nazwisko: </w:t>
            </w:r>
          </w:p>
          <w:p w14:paraId="7295DC62" w14:textId="449D0C4C" w:rsidR="007A4082" w:rsidRPr="00F0726A" w:rsidRDefault="007A4082" w:rsidP="002C1D22">
            <w:pPr>
              <w:ind w:left="2"/>
              <w:rPr>
                <w:rFonts w:cs="Times New Roman"/>
                <w:sz w:val="28"/>
                <w:szCs w:val="28"/>
                <w:lang w:val="pl-PL"/>
              </w:rPr>
            </w:pPr>
            <w:r w:rsidRPr="00F0726A">
              <w:rPr>
                <w:rFonts w:cs="Times New Roman"/>
                <w:sz w:val="28"/>
                <w:szCs w:val="28"/>
                <w:lang w:val="pl-PL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pl-PL"/>
              </w:rPr>
              <w:t>Miłosz Mynarczuk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980E" w14:textId="77777777" w:rsidR="007A4082" w:rsidRPr="00F0726A" w:rsidRDefault="007A4082" w:rsidP="002C1D22">
            <w:pPr>
              <w:rPr>
                <w:lang w:val="pl-PL"/>
              </w:rPr>
            </w:pPr>
          </w:p>
        </w:tc>
      </w:tr>
    </w:tbl>
    <w:p w14:paraId="5A4C9CB4" w14:textId="559E9C72" w:rsidR="007A4082" w:rsidRDefault="007A4082" w:rsidP="007A4082">
      <w:pPr>
        <w:rPr>
          <w:lang w:val="pl-PL"/>
        </w:rPr>
      </w:pPr>
    </w:p>
    <w:p w14:paraId="5460FC1F" w14:textId="747B2F5E" w:rsidR="00515C77" w:rsidRPr="00515C77" w:rsidRDefault="00515C77" w:rsidP="00515C77">
      <w:pPr>
        <w:pStyle w:val="Akapitzlist"/>
        <w:numPr>
          <w:ilvl w:val="0"/>
          <w:numId w:val="2"/>
        </w:numPr>
        <w:rPr>
          <w:lang w:val="pl-PL"/>
        </w:rPr>
      </w:pPr>
      <w:r>
        <w:rPr>
          <w:sz w:val="28"/>
          <w:szCs w:val="28"/>
          <w:lang w:val="pl-PL"/>
        </w:rPr>
        <w:t>Schemat układu:</w:t>
      </w:r>
    </w:p>
    <w:p w14:paraId="6B57697F" w14:textId="1730D378" w:rsidR="00515C77" w:rsidRPr="00515C77" w:rsidRDefault="00515C77" w:rsidP="00D33B6C">
      <w:pPr>
        <w:pStyle w:val="Akapitzlist"/>
        <w:jc w:val="center"/>
        <w:rPr>
          <w:lang w:val="pl-PL"/>
        </w:rPr>
      </w:pPr>
      <w:r w:rsidRPr="00515C77">
        <w:rPr>
          <w:noProof/>
          <w:lang w:val="pl-PL"/>
        </w:rPr>
        <w:drawing>
          <wp:inline distT="0" distB="0" distL="0" distR="0" wp14:anchorId="472D5E29" wp14:editId="3282343F">
            <wp:extent cx="2715004" cy="2248214"/>
            <wp:effectExtent l="0" t="0" r="9525" b="0"/>
            <wp:docPr id="7277359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35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F31D" w14:textId="390A869A" w:rsidR="007A4082" w:rsidRPr="007A4082" w:rsidRDefault="007A4082" w:rsidP="007A4082">
      <w:pPr>
        <w:pStyle w:val="Akapitzlist"/>
        <w:numPr>
          <w:ilvl w:val="0"/>
          <w:numId w:val="2"/>
        </w:numPr>
        <w:rPr>
          <w:sz w:val="28"/>
          <w:szCs w:val="28"/>
          <w:lang w:val="pl-PL"/>
        </w:rPr>
      </w:pPr>
      <w:r w:rsidRPr="007A4082">
        <w:rPr>
          <w:sz w:val="28"/>
          <w:szCs w:val="28"/>
          <w:lang w:val="pl-PL"/>
        </w:rPr>
        <w:t>Pomiary przełączania diody</w:t>
      </w:r>
      <w:r w:rsidR="00864FF0">
        <w:rPr>
          <w:sz w:val="28"/>
          <w:szCs w:val="28"/>
          <w:lang w:val="pl-PL"/>
        </w:rPr>
        <w:t>:</w:t>
      </w:r>
    </w:p>
    <w:p w14:paraId="330D5E84" w14:textId="46EEB13F" w:rsidR="007A4082" w:rsidRPr="007A4082" w:rsidRDefault="007A4082" w:rsidP="007A4082">
      <w:pPr>
        <w:rPr>
          <w:lang w:val="pl-PL"/>
        </w:rPr>
      </w:pPr>
    </w:p>
    <w:p w14:paraId="2CBD5A41" w14:textId="43B0D134" w:rsidR="007A4082" w:rsidRDefault="00D33B6C" w:rsidP="00515C77">
      <w:pPr>
        <w:jc w:val="center"/>
        <w:rPr>
          <w:lang w:val="pl-PL"/>
        </w:rPr>
      </w:pPr>
      <w:r w:rsidRPr="00D33B6C">
        <w:rPr>
          <w:noProof/>
          <w:lang w:val="pl-PL"/>
        </w:rPr>
        <w:drawing>
          <wp:inline distT="0" distB="0" distL="0" distR="0" wp14:anchorId="6F13E307" wp14:editId="06DC48A7">
            <wp:extent cx="4284921" cy="3836407"/>
            <wp:effectExtent l="0" t="0" r="1905" b="0"/>
            <wp:docPr id="13906277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27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675" cy="38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23CC" w14:textId="3F4F91A0" w:rsidR="00FE62FA" w:rsidRPr="00FE62FA" w:rsidRDefault="00864FF0" w:rsidP="00FE62FA">
      <w:pPr>
        <w:pStyle w:val="Akapitzlist"/>
        <w:numPr>
          <w:ilvl w:val="0"/>
          <w:numId w:val="2"/>
        </w:numPr>
        <w:rPr>
          <w:sz w:val="28"/>
          <w:szCs w:val="28"/>
          <w:lang w:val="pl-PL"/>
        </w:rPr>
      </w:pPr>
      <w:r w:rsidRPr="00864FF0">
        <w:rPr>
          <w:sz w:val="28"/>
          <w:szCs w:val="28"/>
          <w:lang w:val="pl-PL"/>
        </w:rPr>
        <w:lastRenderedPageBreak/>
        <w:t>Obserwacje:</w:t>
      </w:r>
    </w:p>
    <w:p w14:paraId="1C434838" w14:textId="7B425175" w:rsidR="00766B4C" w:rsidRDefault="00FE62FA" w:rsidP="00864FF0">
      <w:pPr>
        <w:pStyle w:val="Akapitzlist"/>
        <w:rPr>
          <w:szCs w:val="24"/>
          <w:lang w:val="pl-PL"/>
        </w:rPr>
      </w:pPr>
      <w:r>
        <w:rPr>
          <w:szCs w:val="24"/>
          <w:lang w:val="pl-PL"/>
        </w:rPr>
        <w:t>Na żółto zaznaczone jest napięcie na wejściu na niebiesko napięcie diody, a na fioletowo zaznaczone jest napięcie na oporniku 10 Ohm, co odzwierciedla prąd układu.</w:t>
      </w:r>
      <w:r w:rsidR="008E0682">
        <w:rPr>
          <w:szCs w:val="24"/>
          <w:lang w:val="pl-PL"/>
        </w:rPr>
        <w:t xml:space="preserve"> Przy małych częstotliwościach</w:t>
      </w:r>
      <w:r w:rsidR="00F43358">
        <w:rPr>
          <w:szCs w:val="24"/>
          <w:lang w:val="pl-PL"/>
        </w:rPr>
        <w:t>,</w:t>
      </w:r>
      <w:r w:rsidR="008E0682">
        <w:rPr>
          <w:szCs w:val="24"/>
          <w:lang w:val="pl-PL"/>
        </w:rPr>
        <w:t xml:space="preserve"> dioda działa tak jak powinna</w:t>
      </w:r>
      <w:r w:rsidR="00C8763B">
        <w:rPr>
          <w:szCs w:val="24"/>
          <w:lang w:val="pl-PL"/>
        </w:rPr>
        <w:t xml:space="preserve"> przewodząc prąd w</w:t>
      </w:r>
      <w:r w:rsidR="00F43358">
        <w:rPr>
          <w:szCs w:val="24"/>
          <w:lang w:val="pl-PL"/>
        </w:rPr>
        <w:t xml:space="preserve"> </w:t>
      </w:r>
      <w:r w:rsidR="00C8763B">
        <w:rPr>
          <w:szCs w:val="24"/>
          <w:lang w:val="pl-PL"/>
        </w:rPr>
        <w:t>stronę przewodzenia, a w kierunku zaporowym tworz</w:t>
      </w:r>
      <w:r w:rsidR="00F43358">
        <w:rPr>
          <w:szCs w:val="24"/>
          <w:lang w:val="pl-PL"/>
        </w:rPr>
        <w:t>ąc</w:t>
      </w:r>
      <w:r w:rsidR="00C8763B">
        <w:rPr>
          <w:szCs w:val="24"/>
          <w:lang w:val="pl-PL"/>
        </w:rPr>
        <w:t xml:space="preserve"> przerwę. Dla wyższych częstotliwości</w:t>
      </w:r>
      <w:r w:rsidR="00F43358">
        <w:rPr>
          <w:szCs w:val="24"/>
          <w:lang w:val="pl-PL"/>
        </w:rPr>
        <w:t>,</w:t>
      </w:r>
      <w:r w:rsidR="00C8763B">
        <w:rPr>
          <w:szCs w:val="24"/>
          <w:lang w:val="pl-PL"/>
        </w:rPr>
        <w:t xml:space="preserve"> można zaobserwować przepływ prądu w kierunku zaporowym, czego wcześniej nie było widać. </w:t>
      </w:r>
      <w:r w:rsidR="00F43358">
        <w:rPr>
          <w:szCs w:val="24"/>
          <w:lang w:val="pl-PL"/>
        </w:rPr>
        <w:t>Widać</w:t>
      </w:r>
      <w:r>
        <w:rPr>
          <w:szCs w:val="24"/>
          <w:lang w:val="pl-PL"/>
        </w:rPr>
        <w:t xml:space="preserve"> wszystkie czasy pracy zgodn</w:t>
      </w:r>
      <w:r w:rsidR="008E0682">
        <w:rPr>
          <w:szCs w:val="24"/>
          <w:lang w:val="pl-PL"/>
        </w:rPr>
        <w:t>e</w:t>
      </w:r>
      <w:r>
        <w:rPr>
          <w:szCs w:val="24"/>
          <w:lang w:val="pl-PL"/>
        </w:rPr>
        <w:t xml:space="preserve"> z teorią, z wyjątkiem czasu wznoszenia</w:t>
      </w:r>
      <w:r w:rsidR="00F43358">
        <w:rPr>
          <w:szCs w:val="24"/>
          <w:lang w:val="pl-PL"/>
        </w:rPr>
        <w:t>,</w:t>
      </w:r>
      <w:r>
        <w:rPr>
          <w:szCs w:val="24"/>
          <w:lang w:val="pl-PL"/>
        </w:rPr>
        <w:t xml:space="preserve"> jedyne co widać to pochyłą prostą co mogło by wskazywać na to, że jest on po prostu bardzo krótki. Przy zmianie napięcia wejścia można było zauważyć zmianę czasu magazynowania</w:t>
      </w:r>
      <w:r w:rsidR="00766B4C">
        <w:rPr>
          <w:szCs w:val="24"/>
          <w:lang w:val="pl-PL"/>
        </w:rPr>
        <w:t>.</w:t>
      </w:r>
    </w:p>
    <w:p w14:paraId="2B7427D9" w14:textId="77777777" w:rsidR="00766B4C" w:rsidRDefault="00766B4C" w:rsidP="00864FF0">
      <w:pPr>
        <w:pStyle w:val="Akapitzlist"/>
        <w:rPr>
          <w:szCs w:val="24"/>
          <w:lang w:val="pl-PL"/>
        </w:rPr>
      </w:pPr>
    </w:p>
    <w:p w14:paraId="70365784" w14:textId="77777777" w:rsidR="00766B4C" w:rsidRPr="002D0B5E" w:rsidRDefault="00766B4C" w:rsidP="00766B4C">
      <w:pPr>
        <w:pStyle w:val="Akapitzlist"/>
        <w:numPr>
          <w:ilvl w:val="0"/>
          <w:numId w:val="2"/>
        </w:numPr>
        <w:rPr>
          <w:sz w:val="28"/>
          <w:szCs w:val="28"/>
          <w:lang w:val="pl-PL"/>
        </w:rPr>
      </w:pPr>
      <w:r w:rsidRPr="002D0B5E">
        <w:rPr>
          <w:sz w:val="28"/>
          <w:szCs w:val="28"/>
          <w:lang w:val="pl-PL"/>
        </w:rPr>
        <w:t>Wnioski:</w:t>
      </w:r>
    </w:p>
    <w:p w14:paraId="7B6BC525" w14:textId="2DE17810" w:rsidR="00864FF0" w:rsidRPr="00864FF0" w:rsidRDefault="00E12780" w:rsidP="00766B4C">
      <w:pPr>
        <w:pStyle w:val="Akapitzlist"/>
        <w:rPr>
          <w:szCs w:val="24"/>
          <w:lang w:val="pl-PL"/>
        </w:rPr>
      </w:pPr>
      <w:r>
        <w:rPr>
          <w:szCs w:val="24"/>
          <w:lang w:val="pl-PL"/>
        </w:rPr>
        <w:t xml:space="preserve">Prąd w </w:t>
      </w:r>
      <w:r w:rsidR="00843825">
        <w:rPr>
          <w:szCs w:val="24"/>
          <w:lang w:val="pl-PL"/>
        </w:rPr>
        <w:t>zaporowym</w:t>
      </w:r>
      <w:r>
        <w:rPr>
          <w:szCs w:val="24"/>
          <w:lang w:val="pl-PL"/>
        </w:rPr>
        <w:t xml:space="preserve"> kierunku wynika z pojemności złączowej, a opóźniony </w:t>
      </w:r>
      <w:r w:rsidR="00843825">
        <w:rPr>
          <w:szCs w:val="24"/>
          <w:lang w:val="pl-PL"/>
        </w:rPr>
        <w:t>wzrost napięcia w kierunku przewodzenia wynika z pojemności dyfuzyjnej</w:t>
      </w:r>
      <w:r w:rsidR="00076804">
        <w:rPr>
          <w:szCs w:val="24"/>
          <w:lang w:val="pl-PL"/>
        </w:rPr>
        <w:t>, a czasy tych zmian zależą od wartości pojemności</w:t>
      </w:r>
      <w:r w:rsidR="00843825">
        <w:rPr>
          <w:szCs w:val="24"/>
          <w:lang w:val="pl-PL"/>
        </w:rPr>
        <w:t>. Efekty te można zniwelować podnosząc napięcie w układzie co spowoduje obniżenie pojemności, a co za tym idzie skrócenie czasów: magazynowania, opadania i wznoszenia.</w:t>
      </w:r>
      <w:r w:rsidR="00A64317">
        <w:rPr>
          <w:szCs w:val="24"/>
          <w:lang w:val="pl-PL"/>
        </w:rPr>
        <w:t xml:space="preserve"> Dla małych częstotliwości nie widać zmiany przebiegu odbiegającego od przewidywanego, ponieważ, okres jednej zmiany jest zbyt długi by dostrzec to na oscyloskopie.</w:t>
      </w:r>
    </w:p>
    <w:sectPr w:rsidR="00864FF0" w:rsidRPr="00864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7319"/>
    <w:multiLevelType w:val="hybridMultilevel"/>
    <w:tmpl w:val="E2F681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23700"/>
    <w:multiLevelType w:val="hybridMultilevel"/>
    <w:tmpl w:val="4E6270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49849">
    <w:abstractNumId w:val="0"/>
  </w:num>
  <w:num w:numId="2" w16cid:durableId="49650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82"/>
    <w:rsid w:val="00076804"/>
    <w:rsid w:val="002D0B5E"/>
    <w:rsid w:val="00306911"/>
    <w:rsid w:val="00515C77"/>
    <w:rsid w:val="005B1422"/>
    <w:rsid w:val="006702A0"/>
    <w:rsid w:val="00766B4C"/>
    <w:rsid w:val="007A4082"/>
    <w:rsid w:val="007D35A8"/>
    <w:rsid w:val="00843825"/>
    <w:rsid w:val="00864FF0"/>
    <w:rsid w:val="008E0682"/>
    <w:rsid w:val="00A64317"/>
    <w:rsid w:val="00AA1080"/>
    <w:rsid w:val="00B4138F"/>
    <w:rsid w:val="00C8763B"/>
    <w:rsid w:val="00D33B6C"/>
    <w:rsid w:val="00E12780"/>
    <w:rsid w:val="00E55388"/>
    <w:rsid w:val="00F43358"/>
    <w:rsid w:val="00F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91A"/>
  <w15:chartTrackingRefBased/>
  <w15:docId w15:val="{91995BB5-8EC8-4358-A855-557F3638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082"/>
    <w:rPr>
      <w:rFonts w:ascii="Times New Roman" w:eastAsiaTheme="minorEastAsia" w:hAnsi="Times New Roman" w:cs="Calibri"/>
      <w:color w:val="000000"/>
      <w:kern w:val="0"/>
      <w:sz w:val="24"/>
      <w:szCs w:val="40"/>
      <w:lang w:val="en-US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7A4082"/>
    <w:pPr>
      <w:spacing w:after="0" w:line="240" w:lineRule="auto"/>
    </w:pPr>
    <w:rPr>
      <w:rFonts w:ascii="Times New Roman" w:eastAsiaTheme="minorEastAsia" w:hAnsi="Times New Roman" w:cs="Calibri"/>
      <w:color w:val="000000"/>
      <w:kern w:val="0"/>
      <w:sz w:val="24"/>
      <w:szCs w:val="4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7A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210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9</cp:revision>
  <dcterms:created xsi:type="dcterms:W3CDTF">2023-06-11T20:02:00Z</dcterms:created>
  <dcterms:modified xsi:type="dcterms:W3CDTF">2023-06-12T17:05:00Z</dcterms:modified>
</cp:coreProperties>
</file>