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du5rtb1gscl" w:id="0"/>
      <w:bookmarkEnd w:id="0"/>
      <w:r w:rsidDel="00000000" w:rsidR="00000000" w:rsidRPr="00000000">
        <w:rPr>
          <w:rtl w:val="0"/>
        </w:rPr>
        <w:t xml:space="preserve">Overview preprocessing media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the dataset is huge, especially in terms of the amount of columns, I decided to inspect the columns and found there to be a big problem that needed to be addressed. There were four event type columns. Event type 1 was always filled, and the rest of these columns were only filled when the report had multiple event types. Same goes for the coordinates of the respective cities, a report could have up to four cities but this was rare so a lot of empty values here as well. I decided to split the rows per event type AND per city. This means we now have a row for every event type and for every city per report. This also means multiple rows per report are frequent. This way the data becomes way more processable, as well as easier to visualize. Furthermore, we greatly increased our amount of rows meaning there is more to show. The table below shows information per column. I would like to know your opinions on possible further operations and what you want to see visualized. </w:t>
      </w:r>
    </w:p>
    <w:p w:rsidR="00000000" w:rsidDel="00000000" w:rsidP="00000000" w:rsidRDefault="00000000" w:rsidRPr="00000000" w14:paraId="00000006">
      <w:pPr>
        <w:rPr/>
      </w:pPr>
      <w:r w:rsidDel="00000000" w:rsidR="00000000" w:rsidRPr="00000000">
        <w:rPr>
          <w:rtl w:val="0"/>
        </w:rPr>
        <w:t xml:space="preserve">The full dataset contains 4244 rows and 28 columns. In my opinion this is a huge improvement over the initial dataset that contained 563 rows and 103 columns.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45"/>
        <w:gridCol w:w="2279.5"/>
        <w:gridCol w:w="2279.5"/>
        <w:tblGridChange w:id="0">
          <w:tblGrid>
            <w:gridCol w:w="2325"/>
            <w:gridCol w:w="2145"/>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 of Unique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 of Empty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Short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566 (13.34%)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unique identifier of the article/report.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890 (20.97%)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of the respective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type of the report. A report can have multiple types, in that case there are more rows of this report with the same Article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Type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 (17.01%)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 elaboration on the event type, for example “Departures” is more specific than just “Movements”.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infected migrants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4026 (94.86%)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migrant in quarantine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3816 (89.92%)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deaths at 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3690 (86.95%)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deaths when crossing borders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4183 (98.56%)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rescued people when crossing borders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3417 (80.51%)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arrived people by sea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3199 (75.38%)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arrived people through boarders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3988 (93.97%)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migrants deaths by COVID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4243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migrants healed of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4243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people deported on 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4042 (95.24%)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people deported through borders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3917 (92.3%)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 (1.39%)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219 (5.16%)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Latitude-city1_degrees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225 (5.30%)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Latitude-city1_minutes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 (1.32%)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239 (5.63%)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Longitude-city1_seconds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646 (15.22%)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Longitude-city1_direction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234 (5.51%)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5 (0.12%)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