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555A62"/>
          <w:sz w:val="26"/>
        </w:rPr>
        <w:t>Proyecto de aula de Inteligencia Artificial</w:t>
      </w:r>
    </w:p>
    <w:p>
      <w:pPr>
        <w:spacing w:after="40"/>
        <w:jc w:val="center"/>
      </w:pPr>
      <w:r>
        <w:rPr>
          <w:b/>
          <w:color w:val="1F3B63"/>
          <w:sz w:val="42"/>
        </w:rPr>
        <w:t>Predicción de reingresos hospitalarios a 30 días</w:t>
      </w:r>
    </w:p>
    <w:p>
      <w:pPr>
        <w:jc w:val="center"/>
      </w:pPr>
      <w:r>
        <w:rPr>
          <w:color w:val="333840"/>
          <w:sz w:val="28"/>
        </w:rPr>
        <w:t>Fase 2 · Desarrollo, ajuste y evaluación de los modelos</w:t>
      </w:r>
    </w:p>
    <w:p>
      <w:pPr>
        <w:jc w:val="center"/>
      </w:pPr>
      <w:r>
        <w:rPr>
          <w:i/>
          <w:color w:val="555A62"/>
          <w:sz w:val="22"/>
        </w:rPr>
        <w:t>Informe técnico que actualiza la propuesta presentada en la Fase 1</w:t>
      </w:r>
    </w:p>
    <w:p/>
    <w:p/>
    <w:p/>
    <w:p>
      <w:pPr>
        <w:spacing w:after="60"/>
        <w:jc w:val="center"/>
      </w:pPr>
      <w:r>
        <w:rPr>
          <w:b/>
          <w:sz w:val="23"/>
        </w:rPr>
        <w:t>Equipo · Grupo 04</w:t>
      </w:r>
    </w:p>
    <w:p>
      <w:pPr>
        <w:spacing w:after="60"/>
        <w:jc w:val="center"/>
      </w:pPr>
      <w:r>
        <w:rPr>
          <w:b w:val="0"/>
          <w:sz w:val="22"/>
        </w:rPr>
        <w:t>Michel Custodes</w:t>
      </w:r>
    </w:p>
    <w:p>
      <w:pPr>
        <w:spacing w:after="60"/>
        <w:jc w:val="center"/>
      </w:pPr>
      <w:r>
        <w:rPr>
          <w:b w:val="0"/>
          <w:sz w:val="22"/>
        </w:rPr>
        <w:t>Iván Güette</w:t>
      </w:r>
    </w:p>
    <w:p>
      <w:pPr>
        <w:spacing w:after="60"/>
        <w:jc w:val="center"/>
      </w:pPr>
      <w:r>
        <w:rPr>
          <w:b w:val="0"/>
          <w:sz w:val="22"/>
        </w:rPr>
        <w:t>Maira Torres</w:t>
      </w:r>
    </w:p>
    <w:p/>
    <w:p>
      <w:pPr>
        <w:spacing w:after="60"/>
        <w:jc w:val="center"/>
      </w:pPr>
      <w:r>
        <w:rPr>
          <w:color w:val="555A62"/>
          <w:sz w:val="21"/>
        </w:rPr>
        <w:t>Ingeniería de Sistemas · Séptimo semestre</w:t>
      </w:r>
    </w:p>
    <w:p>
      <w:pPr>
        <w:spacing w:after="60"/>
        <w:jc w:val="center"/>
      </w:pPr>
      <w:r>
        <w:rPr>
          <w:color w:val="555A62"/>
          <w:sz w:val="21"/>
        </w:rPr>
        <w:t>Universidad Popular del Cesar</w:t>
      </w:r>
    </w:p>
    <w:p>
      <w:pPr>
        <w:spacing w:after="60"/>
        <w:jc w:val="center"/>
      </w:pPr>
      <w:r>
        <w:rPr>
          <w:color w:val="555A62"/>
          <w:sz w:val="21"/>
        </w:rPr>
        <w:t>Valledupar, Cesar · 2026</w:t>
      </w:r>
    </w:p>
    <w:p/>
    <w:p>
      <w:pPr>
        <w:jc w:val="center"/>
      </w:pPr>
      <w:r>
        <w:rPr>
          <w:color w:val="555A62"/>
          <w:sz w:val="19"/>
        </w:rPr>
        <w:t>Repositorio del proyecto</w:t>
      </w:r>
    </w:p>
    <w:p>
      <w:pPr>
        <w:jc w:val="center"/>
      </w:pPr>
      <w:r>
        <w:rPr>
          <w:b/>
          <w:color w:val="1F3B63"/>
          <w:sz w:val="20"/>
        </w:rPr>
        <w:t>github.com/MilsyLu/proyecto-aula-reingresos-ia</w:t>
      </w:r>
    </w:p>
    <w:p>
      <w:r>
        <w:br w:type="page"/>
      </w:r>
    </w:p>
    <w:p>
      <w:pPr>
        <w:keepNext/>
        <w:spacing w:before="0" w:after="100"/>
        <w:jc w:val="left"/>
        <w:pBdr>
          <w:bottom w:val="single" w:sz="6" w:space="3" w:color="C5CEDC"/>
        </w:pBdr>
      </w:pPr>
      <w:r>
        <w:rPr>
          <w:b/>
          <w:color w:val="1F3B63"/>
          <w:sz w:val="26"/>
        </w:rPr>
        <w:t>Contenido</w:t>
      </w:r>
    </w:p>
    <w:p>
      <w:pPr>
        <w:tabs>
          <w:tab w:pos="8787" w:val="right" w:leader="dot"/>
        </w:tabs>
        <w:spacing w:after="80"/>
        <w:ind w:left="170"/>
        <w:jc w:val="left"/>
      </w:pPr>
      <w:r>
        <w:rPr>
          <w:sz w:val="20"/>
        </w:rPr>
        <w:t>1.  Alcance de la fase y actualización de la propuesta</w:t>
      </w:r>
      <w:r>
        <w:rPr>
          <w:sz w:val="21"/>
        </w:rPr>
        <w:tab/>
        <w:t>2</w:t>
      </w:r>
    </w:p>
    <w:p>
      <w:pPr>
        <w:tabs>
          <w:tab w:pos="8787" w:val="right" w:leader="dot"/>
        </w:tabs>
        <w:spacing w:after="80"/>
        <w:ind w:left="170"/>
        <w:jc w:val="left"/>
      </w:pPr>
      <w:r>
        <w:rPr>
          <w:sz w:val="20"/>
        </w:rPr>
        <w:t>2.  Objetivos de la fase y metas de evaluación</w:t>
      </w:r>
      <w:r>
        <w:rPr>
          <w:sz w:val="21"/>
        </w:rPr>
        <w:tab/>
        <w:t>3</w:t>
      </w:r>
    </w:p>
    <w:p>
      <w:pPr>
        <w:tabs>
          <w:tab w:pos="8787" w:val="right" w:leader="dot"/>
        </w:tabs>
        <w:spacing w:after="80"/>
        <w:ind w:left="170"/>
        <w:jc w:val="left"/>
      </w:pPr>
      <w:r>
        <w:rPr>
          <w:sz w:val="20"/>
        </w:rPr>
        <w:t>3.  Datos, cohorte y variable objetivo</w:t>
      </w:r>
      <w:r>
        <w:rPr>
          <w:sz w:val="21"/>
        </w:rPr>
        <w:tab/>
        <w:t>3</w:t>
      </w:r>
    </w:p>
    <w:p>
      <w:pPr>
        <w:tabs>
          <w:tab w:pos="8787" w:val="right" w:leader="dot"/>
        </w:tabs>
        <w:spacing w:after="80"/>
        <w:ind w:left="170"/>
        <w:jc w:val="left"/>
      </w:pPr>
      <w:r>
        <w:rPr>
          <w:sz w:val="20"/>
        </w:rPr>
        <w:t>4.  Preprocesamiento de los datos</w:t>
      </w:r>
      <w:r>
        <w:rPr>
          <w:sz w:val="21"/>
        </w:rPr>
        <w:tab/>
        <w:t>4</w:t>
      </w:r>
    </w:p>
    <w:p>
      <w:pPr>
        <w:tabs>
          <w:tab w:pos="8787" w:val="right" w:leader="dot"/>
        </w:tabs>
        <w:spacing w:after="80"/>
        <w:ind w:left="170"/>
        <w:jc w:val="left"/>
      </w:pPr>
      <w:r>
        <w:rPr>
          <w:sz w:val="20"/>
        </w:rPr>
        <w:t>5.  Partición en entrenamiento, validación y prueba</w:t>
      </w:r>
      <w:r>
        <w:rPr>
          <w:sz w:val="21"/>
        </w:rPr>
        <w:tab/>
        <w:t>5</w:t>
      </w:r>
    </w:p>
    <w:p>
      <w:pPr>
        <w:tabs>
          <w:tab w:pos="8787" w:val="right" w:leader="dot"/>
        </w:tabs>
        <w:spacing w:after="80"/>
        <w:ind w:left="170"/>
        <w:jc w:val="left"/>
      </w:pPr>
      <w:r>
        <w:rPr>
          <w:sz w:val="20"/>
        </w:rPr>
        <w:t>6.  Modelos entrenados</w:t>
      </w:r>
      <w:r>
        <w:rPr>
          <w:sz w:val="21"/>
        </w:rPr>
        <w:tab/>
        <w:t>6</w:t>
      </w:r>
    </w:p>
    <w:p>
      <w:pPr>
        <w:tabs>
          <w:tab w:pos="8787" w:val="right" w:leader="dot"/>
        </w:tabs>
        <w:spacing w:after="80"/>
        <w:ind w:left="170"/>
        <w:jc w:val="left"/>
      </w:pPr>
      <w:r>
        <w:rPr>
          <w:sz w:val="20"/>
        </w:rPr>
        <w:t>7.  Ajuste de hiperparámetros</w:t>
      </w:r>
      <w:r>
        <w:rPr>
          <w:sz w:val="21"/>
        </w:rPr>
        <w:tab/>
        <w:t>6</w:t>
      </w:r>
    </w:p>
    <w:p>
      <w:pPr>
        <w:tabs>
          <w:tab w:pos="8787" w:val="right" w:leader="dot"/>
        </w:tabs>
        <w:spacing w:after="80"/>
        <w:ind w:left="170"/>
        <w:jc w:val="left"/>
      </w:pPr>
      <w:r>
        <w:rPr>
          <w:sz w:val="20"/>
        </w:rPr>
        <w:t>8.  Elección del umbral de decisión</w:t>
      </w:r>
      <w:r>
        <w:rPr>
          <w:sz w:val="21"/>
        </w:rPr>
        <w:tab/>
        <w:t>7</w:t>
      </w:r>
    </w:p>
    <w:p>
      <w:pPr>
        <w:tabs>
          <w:tab w:pos="8787" w:val="right" w:leader="dot"/>
        </w:tabs>
        <w:spacing w:after="80"/>
        <w:ind w:left="170"/>
        <w:jc w:val="left"/>
      </w:pPr>
      <w:r>
        <w:rPr>
          <w:sz w:val="20"/>
        </w:rPr>
        <w:t>9.  Calibración de las probabilidades</w:t>
      </w:r>
      <w:r>
        <w:rPr>
          <w:sz w:val="21"/>
        </w:rPr>
        <w:tab/>
        <w:t>8</w:t>
      </w:r>
    </w:p>
    <w:p>
      <w:pPr>
        <w:tabs>
          <w:tab w:pos="8787" w:val="right" w:leader="dot"/>
        </w:tabs>
        <w:spacing w:after="80"/>
        <w:ind w:left="170"/>
        <w:jc w:val="left"/>
      </w:pPr>
      <w:r>
        <w:rPr>
          <w:sz w:val="20"/>
        </w:rPr>
        <w:t>10.  Evaluación final sobre el conjunto de prueba</w:t>
      </w:r>
      <w:r>
        <w:rPr>
          <w:sz w:val="21"/>
        </w:rPr>
        <w:tab/>
        <w:t>9</w:t>
      </w:r>
    </w:p>
    <w:p>
      <w:pPr>
        <w:tabs>
          <w:tab w:pos="8787" w:val="right" w:leader="dot"/>
        </w:tabs>
        <w:spacing w:after="80"/>
        <w:ind w:left="170"/>
        <w:jc w:val="left"/>
      </w:pPr>
      <w:r>
        <w:rPr>
          <w:sz w:val="20"/>
        </w:rPr>
        <w:t>11.  Comparación de modelos y contraste con el estado del arte</w:t>
      </w:r>
      <w:r>
        <w:rPr>
          <w:sz w:val="21"/>
        </w:rPr>
        <w:tab/>
        <w:t>10</w:t>
      </w:r>
    </w:p>
    <w:p>
      <w:pPr>
        <w:tabs>
          <w:tab w:pos="8787" w:val="right" w:leader="dot"/>
        </w:tabs>
        <w:spacing w:after="80"/>
        <w:ind w:left="170"/>
        <w:jc w:val="left"/>
      </w:pPr>
      <w:r>
        <w:rPr>
          <w:sz w:val="20"/>
        </w:rPr>
        <w:t>12.  Análisis de errores</w:t>
      </w:r>
      <w:r>
        <w:rPr>
          <w:sz w:val="21"/>
        </w:rPr>
        <w:tab/>
        <w:t>10</w:t>
      </w:r>
    </w:p>
    <w:p>
      <w:pPr>
        <w:tabs>
          <w:tab w:pos="8787" w:val="right" w:leader="dot"/>
        </w:tabs>
        <w:spacing w:after="80"/>
        <w:ind w:left="170"/>
        <w:jc w:val="left"/>
      </w:pPr>
      <w:r>
        <w:rPr>
          <w:sz w:val="20"/>
        </w:rPr>
        <w:t>13.  Limitaciones de los resultados</w:t>
      </w:r>
      <w:r>
        <w:rPr>
          <w:sz w:val="21"/>
        </w:rPr>
        <w:tab/>
        <w:t>10</w:t>
      </w:r>
    </w:p>
    <w:p>
      <w:pPr>
        <w:tabs>
          <w:tab w:pos="8787" w:val="right" w:leader="dot"/>
        </w:tabs>
        <w:spacing w:after="80"/>
        <w:ind w:left="170"/>
        <w:jc w:val="left"/>
      </w:pPr>
      <w:r>
        <w:rPr>
          <w:sz w:val="20"/>
        </w:rPr>
        <w:t>14.  Reproducibilidad, repositorio y control de versiones</w:t>
      </w:r>
      <w:r>
        <w:rPr>
          <w:sz w:val="21"/>
        </w:rPr>
        <w:tab/>
        <w:t>11</w:t>
      </w:r>
    </w:p>
    <w:p>
      <w:pPr>
        <w:tabs>
          <w:tab w:pos="8787" w:val="right" w:leader="dot"/>
        </w:tabs>
        <w:spacing w:after="80"/>
        <w:ind w:left="170"/>
        <w:jc w:val="left"/>
      </w:pPr>
      <w:r>
        <w:rPr>
          <w:sz w:val="20"/>
        </w:rPr>
        <w:t>15.  Conclusiones</w:t>
      </w:r>
      <w:r>
        <w:rPr>
          <w:sz w:val="21"/>
        </w:rPr>
        <w:tab/>
        <w:t>12</w:t>
      </w:r>
    </w:p>
    <w:p>
      <w:pPr>
        <w:tabs>
          <w:tab w:pos="8787" w:val="right" w:leader="dot"/>
        </w:tabs>
        <w:spacing w:after="80"/>
        <w:ind w:left="170"/>
        <w:jc w:val="left"/>
      </w:pPr>
      <w:r>
        <w:rPr>
          <w:sz w:val="20"/>
        </w:rPr>
        <w:t>16.  Trabajo previsto para la Fase 3</w:t>
      </w:r>
      <w:r>
        <w:rPr>
          <w:sz w:val="21"/>
        </w:rPr>
        <w:tab/>
        <w:t>12</w:t>
      </w:r>
    </w:p>
    <w:p>
      <w:pPr>
        <w:tabs>
          <w:tab w:pos="8787" w:val="right" w:leader="dot"/>
        </w:tabs>
        <w:spacing w:after="80"/>
        <w:ind w:left="170"/>
        <w:jc w:val="left"/>
      </w:pPr>
      <w:r>
        <w:rPr>
          <w:sz w:val="20"/>
        </w:rPr>
        <w:t>17.  Referencias</w:t>
      </w:r>
      <w:r>
        <w:rPr>
          <w:sz w:val="21"/>
        </w:rPr>
        <w:tab/>
        <w:t>12</w:t>
      </w:r>
    </w:p>
    <w:p/>
    <w:p>
      <w:pPr>
        <w:spacing w:before="120" w:after="160"/>
        <w:ind w:left="227"/>
        <w:jc w:val="both"/>
        <w:pBdr>
          <w:left w:val="single" w:sz="18" w:space="8" w:color="1F3B63"/>
        </w:pBdr>
      </w:pPr>
      <w:r>
        <w:rPr>
          <w:sz w:val="20"/>
        </w:rPr>
        <w:t>Resumen de resultados. El modelo seleccionado —Gradient Boosting con hiperparámetros ajustados— obtuvo sobre el conjunto de prueba, evaluado una sola vez, una average precision de 0,2249 (IC 95 % 0,2047–0,2467), un ROC-AUC de 0,6660 (IC 95 % 0,6527–0,6786) y una sensibilidad de 0,6001 con el umbral fijado en validación. Se cumplieron tres de las cuatro metas cuantitativas propuestas en la Fase 1; la cuarta resultó inalcanzable con estos datos y se documenta como tal en el apartado 8.</w:t>
      </w:r>
    </w:p>
    <w:p>
      <w:pPr>
        <w:keepNext/>
        <w:spacing w:before="320" w:after="100"/>
        <w:jc w:val="left"/>
        <w:pBdr>
          <w:bottom w:val="single" w:sz="6" w:space="3" w:color="C5CEDC"/>
        </w:pBdr>
      </w:pPr>
      <w:r>
        <w:rPr>
          <w:b/>
          <w:color w:val="1F3B63"/>
          <w:sz w:val="26"/>
        </w:rPr>
        <w:t>1.  Alcance de la fase y actualización de la propuesta</w:t>
      </w:r>
    </w:p>
    <w:p>
      <w:r>
        <w:t>La Fase 1 formuló el problema, delimitó la cohorte y exploró los datos. Esta segunda fase ejecuta lo que allí quedó propuesto: preparar las variables, construir las particiones, entrenar los modelos comparables, ajustar los hiperparámetros del modelo candidato, elegir un umbral de decisión y medir el desempeño final. El presente documento informa esos resultados y revisa, cuando corresponde, los supuestos de la propuesta inicial.</w:t>
      </w:r>
    </w:p>
    <w:p>
      <w:r>
        <w:t>Se mantiene sin cambios el núcleo metodológico de la Fase 1: la unidad de análisis es la hospitalización, el desenlace positivo es el reingreso registrado en menos de 30 días, la cohorte excluye los egresos por fallecimiento y a hospice, la partición agrupa por paciente y el conjunto de prueba se reserva para una única evaluación. La tabla 1 resume las decisiones que sí se concretaron o se ajustaron durante esta fase.</w:t>
      </w:r>
    </w:p>
    <w:p>
      <w:pPr>
        <w:keepNext/>
        <w:spacing w:before="80" w:after="160"/>
        <w:jc w:val="center"/>
      </w:pPr>
      <w:r>
        <w:rPr>
          <w:b/>
          <w:color w:val="555A62"/>
          <w:sz w:val="17"/>
        </w:rPr>
        <w:t>Tabla 1.</w:t>
      </w:r>
      <w:r>
        <w:rPr>
          <w:color w:val="555A62"/>
          <w:sz w:val="17"/>
        </w:rPr>
        <w:t xml:space="preserve"> Estado de las decisiones anunciadas en la Fase 1.</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402"/>
            <w:shd w:val="clear" w:fill="1F3B63"/>
          </w:tcPr>
          <w:p>
            <w:pPr>
              <w:spacing w:after="20" w:before="20"/>
              <w:jc w:val="center"/>
            </w:pPr>
            <w:r/>
            <w:r>
              <w:rPr>
                <w:b/>
                <w:color w:val="FFFFFF"/>
                <w:sz w:val="17"/>
              </w:rPr>
              <w:t>Decisión de la Fase 1</w:t>
            </w:r>
          </w:p>
        </w:tc>
        <w:tc>
          <w:tcPr>
            <w:tcW w:type="dxa" w:w="5669"/>
            <w:shd w:val="clear" w:fill="1F3B63"/>
          </w:tcPr>
          <w:p>
            <w:pPr>
              <w:spacing w:after="20" w:before="20"/>
              <w:jc w:val="center"/>
            </w:pPr>
            <w:r/>
            <w:r>
              <w:rPr>
                <w:b/>
                <w:color w:val="FFFFFF"/>
                <w:sz w:val="17"/>
              </w:rPr>
              <w:t>Estado en la Fase 2</w:t>
            </w:r>
          </w:p>
        </w:tc>
      </w:tr>
      <w:tr>
        <w:tc>
          <w:tcPr>
            <w:tcW w:type="dxa" w:w="3402"/>
          </w:tcPr>
          <w:p>
            <w:pPr>
              <w:spacing w:after="20" w:before="20"/>
              <w:jc w:val="left"/>
            </w:pPr>
            <w:r/>
            <w:r>
              <w:rPr>
                <w:sz w:val="17"/>
              </w:rPr>
              <w:t>Comparar clasificador de referencia, regresión logística y Gradient Boosting sobre las mismas particiones</w:t>
            </w:r>
          </w:p>
        </w:tc>
        <w:tc>
          <w:tcPr>
            <w:tcW w:type="dxa" w:w="5669"/>
          </w:tcPr>
          <w:p>
            <w:pPr>
              <w:spacing w:after="20" w:before="20"/>
              <w:jc w:val="left"/>
            </w:pPr>
            <w:r/>
            <w:r>
              <w:rPr>
                <w:sz w:val="17"/>
              </w:rPr>
              <w:t>Cumplido. Se entrenaron cuatro modelos: clasificador mayoritario, regresión logística, regresión logística balanceada y Gradient Boosting (por defecto y ajustado).</w:t>
            </w:r>
          </w:p>
        </w:tc>
      </w:tr>
      <w:tr>
        <w:tc>
          <w:tcPr>
            <w:tcW w:type="dxa" w:w="3402"/>
            <w:shd w:val="clear" w:fill="F7F8FA"/>
          </w:tcPr>
          <w:p>
            <w:pPr>
              <w:spacing w:after="20" w:before="20"/>
              <w:jc w:val="left"/>
            </w:pPr>
            <w:r/>
            <w:r>
              <w:rPr>
                <w:sz w:val="17"/>
              </w:rPr>
              <w:t>Red neuronal multicapa opcional y análisis de sensibilidad sin transferencias entre instituciones</w:t>
            </w:r>
          </w:p>
        </w:tc>
        <w:tc>
          <w:tcPr>
            <w:tcW w:type="dxa" w:w="5669"/>
            <w:shd w:val="clear" w:fill="F7F8FA"/>
          </w:tcPr>
          <w:p>
            <w:pPr>
              <w:spacing w:after="20" w:before="20"/>
              <w:jc w:val="left"/>
            </w:pPr>
            <w:r/>
            <w:r>
              <w:rPr>
                <w:sz w:val="17"/>
              </w:rPr>
              <w:t>No ejecutados. La Fase 1 condicionó la MLP al control del alcance; ambos quedan registrados como pendientes para la Fase 3.</w:t>
            </w:r>
          </w:p>
        </w:tc>
      </w:tr>
      <w:tr>
        <w:tc>
          <w:tcPr>
            <w:tcW w:type="dxa" w:w="3402"/>
          </w:tcPr>
          <w:p>
            <w:pPr>
              <w:spacing w:after="20" w:before="20"/>
              <w:jc w:val="left"/>
            </w:pPr>
            <w:r/>
            <w:r>
              <w:rPr>
                <w:sz w:val="17"/>
              </w:rPr>
              <w:t>race excluida del modelo principal</w:t>
            </w:r>
          </w:p>
        </w:tc>
        <w:tc>
          <w:tcPr>
            <w:tcW w:type="dxa" w:w="5669"/>
          </w:tcPr>
          <w:p>
            <w:pPr>
              <w:spacing w:after="20" w:before="20"/>
              <w:jc w:val="left"/>
            </w:pPr>
            <w:r/>
            <w:r>
              <w:rPr>
                <w:sz w:val="17"/>
              </w:rPr>
              <w:t>Cumplido. No entra como predictor. El análisis de diferencias entre subgrupos se traslada a la Fase 3.</w:t>
            </w:r>
          </w:p>
        </w:tc>
      </w:tr>
      <w:tr>
        <w:tc>
          <w:tcPr>
            <w:tcW w:type="dxa" w:w="3402"/>
            <w:shd w:val="clear" w:fill="F7F8FA"/>
          </w:tcPr>
          <w:p>
            <w:pPr>
              <w:spacing w:after="20" w:before="20"/>
              <w:jc w:val="left"/>
            </w:pPr>
            <w:r/>
            <w:r>
              <w:rPr>
                <w:sz w:val="17"/>
              </w:rPr>
              <w:t>Códigos administrativos tratados como categorías</w:t>
            </w:r>
          </w:p>
        </w:tc>
        <w:tc>
          <w:tcPr>
            <w:tcW w:type="dxa" w:w="5669"/>
            <w:shd w:val="clear" w:fill="F7F8FA"/>
          </w:tcPr>
          <w:p>
            <w:pPr>
              <w:spacing w:after="20" w:before="20"/>
              <w:jc w:val="left"/>
            </w:pPr>
            <w:r/>
            <w:r>
              <w:rPr>
                <w:sz w:val="17"/>
              </w:rPr>
              <w:t>Cumplido, con una corrección documentada en el apartado 4.3: inicialmente fueron leídos como números y se forzó su conversión a texto.</w:t>
            </w:r>
          </w:p>
        </w:tc>
      </w:tr>
      <w:tr>
        <w:tc>
          <w:tcPr>
            <w:tcW w:type="dxa" w:w="3402"/>
          </w:tcPr>
          <w:p>
            <w:pPr>
              <w:spacing w:after="20" w:before="20"/>
              <w:jc w:val="left"/>
            </w:pPr>
            <w:r/>
            <w:r>
              <w:rPr>
                <w:sz w:val="17"/>
              </w:rPr>
              <w:t>Umbral elegido en validación y prueba evaluada una sola vez</w:t>
            </w:r>
          </w:p>
        </w:tc>
        <w:tc>
          <w:tcPr>
            <w:tcW w:type="dxa" w:w="5669"/>
          </w:tcPr>
          <w:p>
            <w:pPr>
              <w:spacing w:after="20" w:before="20"/>
              <w:jc w:val="left"/>
            </w:pPr>
            <w:r/>
            <w:r>
              <w:rPr>
                <w:sz w:val="17"/>
              </w:rPr>
              <w:t>Cumplido. El umbral 0,1123 se fijó en validación; el conjunto de prueba se evaluó al final del cuaderno 04 con el flujo congelado.</w:t>
            </w:r>
          </w:p>
        </w:tc>
      </w:tr>
    </w:tbl>
    <w:p>
      <w:pPr>
        <w:spacing w:after="0"/>
      </w:pPr>
    </w:p>
    <w:p>
      <w:pPr>
        <w:keepNext/>
        <w:spacing w:before="220" w:after="100"/>
        <w:jc w:val="left"/>
        <w:pBdr>
          <w:bottom w:val="single" w:sz="6" w:space="3" w:color="C5CEDC"/>
        </w:pBdr>
      </w:pPr>
      <w:r>
        <w:rPr>
          <w:b/>
          <w:color w:val="1F3B63"/>
          <w:sz w:val="26"/>
        </w:rPr>
        <w:t>2.  Objetivos de la fase y metas de evaluación</w:t>
      </w:r>
    </w:p>
    <w:p>
      <w:r>
        <w:t xml:space="preserve">Esta fase corresponde al </w:t>
      </w:r>
      <w:r>
        <w:rPr>
          <w:b/>
        </w:rPr>
        <w:t>objetivo específico 2</w:t>
      </w:r>
      <w:r>
        <w:t xml:space="preserve"> de la propuesta: «entrenar y comparar un modelo de Gradient Boosting con una regresión logística y un clasificador de referencia, utilizando una partición por paciente y métricas adecuadas para evaluar discriminación, detección de reingresos y calibración de las probabilidades».</w:t>
      </w:r>
    </w:p>
    <w:p>
      <w:r>
        <w:t>La Fase 1 propuso cuatro metas cuantitativas y advirtió expresamente que, si los datos no permitían alcanzarlas, se documentarían las causas sin alterar el conjunto de prueba. La tabla 2 contrasta cada meta con el resultado obtenido.</w:t>
      </w:r>
    </w:p>
    <w:p>
      <w:pPr>
        <w:keepNext/>
        <w:spacing w:before="80" w:after="160"/>
        <w:jc w:val="center"/>
      </w:pPr>
      <w:r>
        <w:rPr>
          <w:b/>
          <w:color w:val="555A62"/>
          <w:sz w:val="17"/>
        </w:rPr>
        <w:t>Tabla 2.</w:t>
      </w:r>
      <w:r>
        <w:rPr>
          <w:color w:val="555A62"/>
          <w:sz w:val="17"/>
        </w:rPr>
        <w:t xml:space="preserve"> Cumplimiento de las metas cuantitativas propuestas en la Fase 1. Prevalencia de la cohorte: 11,39 %.</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4082"/>
            <w:shd w:val="clear" w:fill="1F3B63"/>
          </w:tcPr>
          <w:p>
            <w:pPr>
              <w:spacing w:after="20" w:before="20"/>
              <w:jc w:val="center"/>
            </w:pPr>
            <w:r/>
            <w:r>
              <w:rPr>
                <w:b/>
                <w:color w:val="FFFFFF"/>
                <w:sz w:val="18"/>
              </w:rPr>
              <w:t>Meta propuesta en la Fase 1</w:t>
            </w:r>
          </w:p>
        </w:tc>
        <w:tc>
          <w:tcPr>
            <w:tcW w:type="dxa" w:w="1474"/>
            <w:shd w:val="clear" w:fill="1F3B63"/>
          </w:tcPr>
          <w:p>
            <w:pPr>
              <w:spacing w:after="20" w:before="20"/>
              <w:jc w:val="center"/>
            </w:pPr>
            <w:r/>
            <w:r>
              <w:rPr>
                <w:b/>
                <w:color w:val="FFFFFF"/>
                <w:sz w:val="18"/>
              </w:rPr>
              <w:t>Objetivo</w:t>
            </w:r>
          </w:p>
        </w:tc>
        <w:tc>
          <w:tcPr>
            <w:tcW w:type="dxa" w:w="2041"/>
            <w:shd w:val="clear" w:fill="1F3B63"/>
          </w:tcPr>
          <w:p>
            <w:pPr>
              <w:spacing w:after="20" w:before="20"/>
              <w:jc w:val="center"/>
            </w:pPr>
            <w:r/>
            <w:r>
              <w:rPr>
                <w:b/>
                <w:color w:val="FFFFFF"/>
                <w:sz w:val="18"/>
              </w:rPr>
              <w:t>Obtenido en prueba</w:t>
            </w:r>
          </w:p>
        </w:tc>
        <w:tc>
          <w:tcPr>
            <w:tcW w:type="dxa" w:w="1020"/>
            <w:shd w:val="clear" w:fill="1F3B63"/>
          </w:tcPr>
          <w:p>
            <w:pPr>
              <w:spacing w:after="20" w:before="20"/>
              <w:jc w:val="center"/>
            </w:pPr>
            <w:r/>
            <w:r>
              <w:rPr>
                <w:b/>
                <w:color w:val="FFFFFF"/>
                <w:sz w:val="18"/>
              </w:rPr>
              <w:t>Cumple</w:t>
            </w:r>
          </w:p>
        </w:tc>
      </w:tr>
      <w:tr>
        <w:tc>
          <w:tcPr>
            <w:tcW w:type="dxa" w:w="4082"/>
          </w:tcPr>
          <w:p>
            <w:pPr>
              <w:spacing w:after="20" w:before="20"/>
              <w:jc w:val="left"/>
            </w:pPr>
            <w:r/>
            <w:r>
              <w:rPr>
                <w:sz w:val="18"/>
              </w:rPr>
              <w:t>Average precision ≥ 1,5 × prevalencia</w:t>
            </w:r>
          </w:p>
        </w:tc>
        <w:tc>
          <w:tcPr>
            <w:tcW w:type="dxa" w:w="1474"/>
          </w:tcPr>
          <w:p>
            <w:pPr>
              <w:spacing w:after="20" w:before="20"/>
              <w:jc w:val="center"/>
            </w:pPr>
            <w:r/>
            <w:r>
              <w:rPr>
                <w:sz w:val="18"/>
              </w:rPr>
              <w:t>≥ 0,1708</w:t>
            </w:r>
          </w:p>
        </w:tc>
        <w:tc>
          <w:tcPr>
            <w:tcW w:type="dxa" w:w="2041"/>
          </w:tcPr>
          <w:p>
            <w:pPr>
              <w:spacing w:after="20" w:before="20"/>
              <w:jc w:val="center"/>
            </w:pPr>
            <w:r/>
            <w:r>
              <w:rPr>
                <w:sz w:val="18"/>
              </w:rPr>
              <w:t>0,2249  (1,97 ×)</w:t>
            </w:r>
          </w:p>
        </w:tc>
        <w:tc>
          <w:tcPr>
            <w:tcW w:type="dxa" w:w="1020"/>
          </w:tcPr>
          <w:p>
            <w:pPr>
              <w:spacing w:after="20" w:before="20"/>
              <w:jc w:val="center"/>
            </w:pPr>
            <w:r/>
            <w:r>
              <w:rPr>
                <w:sz w:val="18"/>
              </w:rPr>
              <w:t>Sí</w:t>
            </w:r>
          </w:p>
        </w:tc>
      </w:tr>
      <w:tr>
        <w:tc>
          <w:tcPr>
            <w:tcW w:type="dxa" w:w="4082"/>
            <w:shd w:val="clear" w:fill="F7F8FA"/>
          </w:tcPr>
          <w:p>
            <w:pPr>
              <w:spacing w:after="20" w:before="20"/>
              <w:jc w:val="left"/>
            </w:pPr>
            <w:r/>
            <w:r>
              <w:rPr>
                <w:sz w:val="18"/>
              </w:rPr>
              <w:t>ROC-AUC ≥ 0,65</w:t>
            </w:r>
          </w:p>
        </w:tc>
        <w:tc>
          <w:tcPr>
            <w:tcW w:type="dxa" w:w="1474"/>
            <w:shd w:val="clear" w:fill="F7F8FA"/>
          </w:tcPr>
          <w:p>
            <w:pPr>
              <w:spacing w:after="20" w:before="20"/>
              <w:jc w:val="center"/>
            </w:pPr>
            <w:r/>
            <w:r>
              <w:rPr>
                <w:sz w:val="18"/>
              </w:rPr>
              <w:t>≥ 0,6500</w:t>
            </w:r>
          </w:p>
        </w:tc>
        <w:tc>
          <w:tcPr>
            <w:tcW w:type="dxa" w:w="2041"/>
            <w:shd w:val="clear" w:fill="F7F8FA"/>
          </w:tcPr>
          <w:p>
            <w:pPr>
              <w:spacing w:after="20" w:before="20"/>
              <w:jc w:val="center"/>
            </w:pPr>
            <w:r/>
            <w:r>
              <w:rPr>
                <w:sz w:val="18"/>
              </w:rPr>
              <w:t>0,6660</w:t>
            </w:r>
          </w:p>
        </w:tc>
        <w:tc>
          <w:tcPr>
            <w:tcW w:type="dxa" w:w="1020"/>
            <w:shd w:val="clear" w:fill="F7F8FA"/>
          </w:tcPr>
          <w:p>
            <w:pPr>
              <w:spacing w:after="20" w:before="20"/>
              <w:jc w:val="center"/>
            </w:pPr>
            <w:r/>
            <w:r>
              <w:rPr>
                <w:sz w:val="18"/>
              </w:rPr>
              <w:t>Sí</w:t>
            </w:r>
          </w:p>
        </w:tc>
      </w:tr>
      <w:tr>
        <w:tc>
          <w:tcPr>
            <w:tcW w:type="dxa" w:w="4082"/>
          </w:tcPr>
          <w:p>
            <w:pPr>
              <w:spacing w:after="20" w:before="20"/>
              <w:jc w:val="left"/>
            </w:pPr>
            <w:r/>
            <w:r>
              <w:rPr>
                <w:sz w:val="18"/>
              </w:rPr>
              <w:t>Sensibilidad (recall) ≥ 0,60</w:t>
            </w:r>
          </w:p>
        </w:tc>
        <w:tc>
          <w:tcPr>
            <w:tcW w:type="dxa" w:w="1474"/>
          </w:tcPr>
          <w:p>
            <w:pPr>
              <w:spacing w:after="20" w:before="20"/>
              <w:jc w:val="center"/>
            </w:pPr>
            <w:r/>
            <w:r>
              <w:rPr>
                <w:sz w:val="18"/>
              </w:rPr>
              <w:t>≥ 0,6000</w:t>
            </w:r>
          </w:p>
        </w:tc>
        <w:tc>
          <w:tcPr>
            <w:tcW w:type="dxa" w:w="2041"/>
          </w:tcPr>
          <w:p>
            <w:pPr>
              <w:spacing w:after="20" w:before="20"/>
              <w:jc w:val="center"/>
            </w:pPr>
            <w:r/>
            <w:r>
              <w:rPr>
                <w:sz w:val="18"/>
              </w:rPr>
              <w:t>0,6001</w:t>
            </w:r>
          </w:p>
        </w:tc>
        <w:tc>
          <w:tcPr>
            <w:tcW w:type="dxa" w:w="1020"/>
          </w:tcPr>
          <w:p>
            <w:pPr>
              <w:spacing w:after="20" w:before="20"/>
              <w:jc w:val="center"/>
            </w:pPr>
            <w:r/>
            <w:r>
              <w:rPr>
                <w:sz w:val="18"/>
              </w:rPr>
              <w:t>Sí</w:t>
            </w:r>
          </w:p>
        </w:tc>
      </w:tr>
      <w:tr>
        <w:tc>
          <w:tcPr>
            <w:tcW w:type="dxa" w:w="4082"/>
            <w:shd w:val="clear" w:fill="F7F8FA"/>
          </w:tcPr>
          <w:p>
            <w:pPr>
              <w:spacing w:after="20" w:before="20"/>
              <w:jc w:val="left"/>
            </w:pPr>
            <w:r/>
            <w:r>
              <w:rPr>
                <w:sz w:val="18"/>
              </w:rPr>
              <w:t>Precisión ≥ 0,20 junto a esa sensibilidad</w:t>
            </w:r>
          </w:p>
        </w:tc>
        <w:tc>
          <w:tcPr>
            <w:tcW w:type="dxa" w:w="1474"/>
            <w:shd w:val="clear" w:fill="F7F8FA"/>
          </w:tcPr>
          <w:p>
            <w:pPr>
              <w:spacing w:after="20" w:before="20"/>
              <w:jc w:val="center"/>
            </w:pPr>
            <w:r/>
            <w:r>
              <w:rPr>
                <w:sz w:val="18"/>
              </w:rPr>
              <w:t>≥ 0,2000</w:t>
            </w:r>
          </w:p>
        </w:tc>
        <w:tc>
          <w:tcPr>
            <w:tcW w:type="dxa" w:w="2041"/>
            <w:shd w:val="clear" w:fill="F7F8FA"/>
          </w:tcPr>
          <w:p>
            <w:pPr>
              <w:spacing w:after="20" w:before="20"/>
              <w:jc w:val="center"/>
            </w:pPr>
            <w:r/>
            <w:r>
              <w:rPr>
                <w:sz w:val="18"/>
              </w:rPr>
              <w:t>0,1781</w:t>
            </w:r>
          </w:p>
        </w:tc>
        <w:tc>
          <w:tcPr>
            <w:tcW w:type="dxa" w:w="1020"/>
            <w:shd w:val="clear" w:fill="F7F8FA"/>
          </w:tcPr>
          <w:p>
            <w:pPr>
              <w:spacing w:after="20" w:before="20"/>
              <w:jc w:val="center"/>
            </w:pPr>
            <w:r/>
            <w:r>
              <w:rPr>
                <w:sz w:val="18"/>
              </w:rPr>
              <w:t>No</w:t>
            </w:r>
          </w:p>
        </w:tc>
      </w:tr>
    </w:tbl>
    <w:p>
      <w:pPr>
        <w:spacing w:after="0"/>
      </w:pPr>
    </w:p>
    <w:p>
      <w:r>
        <w:t>El límite inferior del intervalo de confianza del ROC-AUC (0,6527) también supera la meta de 0,65, de modo que ese cumplimiento no depende de la variabilidad del muestreo. La cuarta meta no se alcanza con ningún umbral; el apartado 8 muestra por qué y qué compensación existe entre sensibilidad y precisión en estos datos.</w:t>
      </w:r>
    </w:p>
    <w:p>
      <w:pPr>
        <w:keepNext/>
        <w:spacing w:before="220" w:after="100"/>
        <w:jc w:val="left"/>
        <w:pBdr>
          <w:bottom w:val="single" w:sz="6" w:space="3" w:color="C5CEDC"/>
        </w:pBdr>
      </w:pPr>
      <w:r>
        <w:rPr>
          <w:b/>
          <w:color w:val="1F3B63"/>
          <w:sz w:val="26"/>
        </w:rPr>
        <w:t>3.  Datos, cohorte y variable objetivo</w:t>
      </w:r>
    </w:p>
    <w:p>
      <w:r>
        <w:t xml:space="preserve">La fuente es </w:t>
      </w:r>
      <w:r>
        <w:rPr>
          <w:b/>
        </w:rPr>
        <w:t>Diabetes 130-US Hospitals for Years 1999-2008</w:t>
      </w:r>
      <w:r>
        <w:t xml:space="preserve"> del repositorio UCI (Clore et al., 2014): 101.766 hospitalizaciones, 50 columnas y 71.518 pacientes distintos. Siguiendo a Strack et al. (2014), se excluyeron los egresos por fallecimiento o a hospice —códigos 11, 13, 14, 19, 20 y 21 de discharge_disposition_id—, porque en esos registros el reingreso no puede ocurrir y su inclusión distorsionaría tanto la prevalencia como la frontera de decisión.</w:t>
      </w:r>
    </w:p>
    <w:p>
      <w:pPr>
        <w:keepNext/>
        <w:spacing w:before="80" w:after="160"/>
        <w:jc w:val="center"/>
      </w:pPr>
      <w:r>
        <w:rPr>
          <w:b/>
          <w:color w:val="555A62"/>
          <w:sz w:val="17"/>
        </w:rPr>
        <w:t>Tabla 3.</w:t>
      </w:r>
      <w:r>
        <w:rPr>
          <w:color w:val="555A62"/>
          <w:sz w:val="17"/>
        </w:rPr>
        <w:t xml:space="preserve"> Cohorte de trabajo.</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5102"/>
            <w:shd w:val="clear" w:fill="1F3B63"/>
          </w:tcPr>
          <w:p>
            <w:pPr>
              <w:spacing w:after="20" w:before="20"/>
              <w:jc w:val="center"/>
            </w:pPr>
            <w:r/>
            <w:r>
              <w:rPr>
                <w:b/>
                <w:color w:val="FFFFFF"/>
                <w:sz w:val="18"/>
              </w:rPr>
              <w:t>Concepto</w:t>
            </w:r>
          </w:p>
        </w:tc>
        <w:tc>
          <w:tcPr>
            <w:tcW w:type="dxa" w:w="2268"/>
            <w:shd w:val="clear" w:fill="1F3B63"/>
          </w:tcPr>
          <w:p>
            <w:pPr>
              <w:spacing w:after="20" w:before="20"/>
              <w:jc w:val="center"/>
            </w:pPr>
            <w:r/>
            <w:r>
              <w:rPr>
                <w:b/>
                <w:color w:val="FFFFFF"/>
                <w:sz w:val="18"/>
              </w:rPr>
              <w:t>Valor</w:t>
            </w:r>
          </w:p>
        </w:tc>
      </w:tr>
      <w:tr>
        <w:tc>
          <w:tcPr>
            <w:tcW w:type="dxa" w:w="5102"/>
          </w:tcPr>
          <w:p>
            <w:pPr>
              <w:spacing w:after="20" w:before="20"/>
              <w:jc w:val="left"/>
            </w:pPr>
            <w:r/>
            <w:r>
              <w:rPr>
                <w:sz w:val="18"/>
              </w:rPr>
              <w:t>Hospitalizaciones en el archivo original</w:t>
            </w:r>
          </w:p>
        </w:tc>
        <w:tc>
          <w:tcPr>
            <w:tcW w:type="dxa" w:w="2268"/>
          </w:tcPr>
          <w:p>
            <w:pPr>
              <w:spacing w:after="20" w:before="20"/>
              <w:jc w:val="center"/>
            </w:pPr>
            <w:r/>
            <w:r>
              <w:rPr>
                <w:sz w:val="18"/>
              </w:rPr>
              <w:t>101.766</w:t>
            </w:r>
          </w:p>
        </w:tc>
      </w:tr>
      <w:tr>
        <w:tc>
          <w:tcPr>
            <w:tcW w:type="dxa" w:w="5102"/>
            <w:shd w:val="clear" w:fill="F7F8FA"/>
          </w:tcPr>
          <w:p>
            <w:pPr>
              <w:spacing w:after="20" w:before="20"/>
              <w:jc w:val="left"/>
            </w:pPr>
            <w:r/>
            <w:r>
              <w:rPr>
                <w:sz w:val="18"/>
              </w:rPr>
              <w:t>Egresos excluidos (fallecimiento u hospice)</w:t>
            </w:r>
          </w:p>
        </w:tc>
        <w:tc>
          <w:tcPr>
            <w:tcW w:type="dxa" w:w="2268"/>
            <w:shd w:val="clear" w:fill="F7F8FA"/>
          </w:tcPr>
          <w:p>
            <w:pPr>
              <w:spacing w:after="20" w:before="20"/>
              <w:jc w:val="center"/>
            </w:pPr>
            <w:r/>
            <w:r>
              <w:rPr>
                <w:sz w:val="18"/>
              </w:rPr>
              <w:t>2.423</w:t>
            </w:r>
          </w:p>
        </w:tc>
      </w:tr>
      <w:tr>
        <w:tc>
          <w:tcPr>
            <w:tcW w:type="dxa" w:w="5102"/>
            <w:shd w:val="clear" w:fill="EDF0F5"/>
          </w:tcPr>
          <w:p>
            <w:pPr>
              <w:spacing w:after="20" w:before="20"/>
              <w:jc w:val="left"/>
            </w:pPr>
            <w:r>
              <w:rPr>
                <w:b/>
              </w:rPr>
            </w:r>
            <w:r>
              <w:rPr>
                <w:b/>
                <w:sz w:val="18"/>
              </w:rPr>
              <w:t>Hospitalizaciones de la cohorte</w:t>
            </w:r>
          </w:p>
        </w:tc>
        <w:tc>
          <w:tcPr>
            <w:tcW w:type="dxa" w:w="2268"/>
            <w:shd w:val="clear" w:fill="EDF0F5"/>
          </w:tcPr>
          <w:p>
            <w:pPr>
              <w:spacing w:after="20" w:before="20"/>
              <w:jc w:val="center"/>
            </w:pPr>
            <w:r>
              <w:rPr>
                <w:b/>
              </w:rPr>
            </w:r>
            <w:r>
              <w:rPr>
                <w:b/>
                <w:sz w:val="18"/>
              </w:rPr>
              <w:t>99.343</w:t>
            </w:r>
          </w:p>
        </w:tc>
      </w:tr>
      <w:tr>
        <w:tc>
          <w:tcPr>
            <w:tcW w:type="dxa" w:w="5102"/>
            <w:shd w:val="clear" w:fill="F7F8FA"/>
          </w:tcPr>
          <w:p>
            <w:pPr>
              <w:spacing w:after="20" w:before="20"/>
              <w:jc w:val="left"/>
            </w:pPr>
            <w:r/>
            <w:r>
              <w:rPr>
                <w:sz w:val="18"/>
              </w:rPr>
              <w:t>Pacientes distintos en la cohorte</w:t>
            </w:r>
          </w:p>
        </w:tc>
        <w:tc>
          <w:tcPr>
            <w:tcW w:type="dxa" w:w="2268"/>
            <w:shd w:val="clear" w:fill="F7F8FA"/>
          </w:tcPr>
          <w:p>
            <w:pPr>
              <w:spacing w:after="20" w:before="20"/>
              <w:jc w:val="center"/>
            </w:pPr>
            <w:r/>
            <w:r>
              <w:rPr>
                <w:sz w:val="18"/>
              </w:rPr>
              <w:t>69.990</w:t>
            </w:r>
          </w:p>
        </w:tc>
      </w:tr>
      <w:tr>
        <w:tc>
          <w:tcPr>
            <w:tcW w:type="dxa" w:w="5102"/>
          </w:tcPr>
          <w:p>
            <w:pPr>
              <w:spacing w:after="20" w:before="20"/>
              <w:jc w:val="left"/>
            </w:pPr>
            <w:r/>
            <w:r>
              <w:rPr>
                <w:sz w:val="18"/>
              </w:rPr>
              <w:t>Reingresos a menos de 30 días (positivos)</w:t>
            </w:r>
          </w:p>
        </w:tc>
        <w:tc>
          <w:tcPr>
            <w:tcW w:type="dxa" w:w="2268"/>
          </w:tcPr>
          <w:p>
            <w:pPr>
              <w:spacing w:after="20" w:before="20"/>
              <w:jc w:val="center"/>
            </w:pPr>
            <w:r/>
            <w:r>
              <w:rPr>
                <w:sz w:val="18"/>
              </w:rPr>
              <w:t>11.314</w:t>
            </w:r>
          </w:p>
        </w:tc>
      </w:tr>
      <w:tr>
        <w:tc>
          <w:tcPr>
            <w:tcW w:type="dxa" w:w="5102"/>
            <w:shd w:val="clear" w:fill="F7F8FA"/>
          </w:tcPr>
          <w:p>
            <w:pPr>
              <w:spacing w:after="20" w:before="20"/>
              <w:jc w:val="left"/>
            </w:pPr>
            <w:r/>
            <w:r>
              <w:rPr>
                <w:sz w:val="18"/>
              </w:rPr>
              <w:t>Prevalencia del positivo</w:t>
            </w:r>
          </w:p>
        </w:tc>
        <w:tc>
          <w:tcPr>
            <w:tcW w:type="dxa" w:w="2268"/>
            <w:shd w:val="clear" w:fill="F7F8FA"/>
          </w:tcPr>
          <w:p>
            <w:pPr>
              <w:spacing w:after="20" w:before="20"/>
              <w:jc w:val="center"/>
            </w:pPr>
            <w:r/>
            <w:r>
              <w:rPr>
                <w:sz w:val="18"/>
              </w:rPr>
              <w:t>11,39 %</w:t>
            </w:r>
          </w:p>
        </w:tc>
      </w:tr>
      <w:tr>
        <w:tc>
          <w:tcPr>
            <w:tcW w:type="dxa" w:w="5102"/>
          </w:tcPr>
          <w:p>
            <w:pPr>
              <w:spacing w:after="20" w:before="20"/>
              <w:jc w:val="left"/>
            </w:pPr>
            <w:r/>
            <w:r>
              <w:rPr>
                <w:sz w:val="18"/>
              </w:rPr>
              <w:t>Razón negativos por positivo</w:t>
            </w:r>
          </w:p>
        </w:tc>
        <w:tc>
          <w:tcPr>
            <w:tcW w:type="dxa" w:w="2268"/>
          </w:tcPr>
          <w:p>
            <w:pPr>
              <w:spacing w:after="20" w:before="20"/>
              <w:jc w:val="center"/>
            </w:pPr>
            <w:r/>
            <w:r>
              <w:rPr>
                <w:sz w:val="18"/>
              </w:rPr>
              <w:t>≈ 7,8 a 1</w:t>
            </w:r>
          </w:p>
        </w:tc>
      </w:tr>
    </w:tbl>
    <w:p>
      <w:pPr>
        <w:spacing w:after="0"/>
      </w:pPr>
    </w:p>
    <w:p>
      <w:r>
        <w:t xml:space="preserve">La variable original readmitted distingue tres categorías: &lt;30, &gt;30 y NO. Se define </w:t>
      </w:r>
      <w:r>
        <w:rPr>
          <w:b/>
        </w:rPr>
        <w:t>y = 1</w:t>
      </w:r>
      <w:r>
        <w:t xml:space="preserve"> cuando el valor es &lt;30 y </w:t>
      </w:r>
      <w:r>
        <w:rPr>
          <w:b/>
        </w:rPr>
        <w:t>y = 0</w:t>
      </w:r>
      <w:r>
        <w:t xml:space="preserve"> en los otros dos casos. Esta es una decisión con consecuencias: una hospitalización seguida de un reingreso al día 45 cuenta como negativa. Se conserva así porque la pregunta del proyecto es el reingreso temprano, el que suele asociarse a un alta prematura o a un seguimiento insuficiente, y porque el archivo no permite conocer el día exacto del retorno.</w:t>
      </w:r>
    </w:p>
    <w:p>
      <w:r>
        <w:t xml:space="preserve">Las hospitalizaciones repetidas de una misma persona </w:t>
      </w:r>
      <w:r>
        <w:rPr>
          <w:b/>
        </w:rPr>
        <w:t>no se eliminan</w:t>
      </w:r>
      <w:r>
        <w:t>: no son duplicados erróneos sino episodios distintos de atención, y el uso previo de servicios es una de las señales más informativas. Lo que sí exige esa estructura es una partición que mantenga a cada paciente íntegramente dentro de un solo conjunto, como desarrolla el apartado 5.</w:t>
      </w:r>
    </w:p>
    <w:p>
      <w:pPr>
        <w:keepNext/>
        <w:spacing w:before="220" w:after="100"/>
        <w:jc w:val="left"/>
        <w:pBdr>
          <w:bottom w:val="single" w:sz="6" w:space="3" w:color="C5CEDC"/>
        </w:pBdr>
      </w:pPr>
      <w:r>
        <w:rPr>
          <w:b/>
          <w:color w:val="1F3B63"/>
          <w:sz w:val="26"/>
        </w:rPr>
        <w:t>4.  Preprocesamiento de los datos</w:t>
      </w:r>
    </w:p>
    <w:p>
      <w:pPr>
        <w:keepNext/>
        <w:spacing w:before="180" w:after="100"/>
        <w:jc w:val="left"/>
      </w:pPr>
      <w:r>
        <w:rPr>
          <w:b/>
          <w:color w:val="1F3B63"/>
          <w:sz w:val="22"/>
        </w:rPr>
        <w:t>4.1  Columnas retiradas</w:t>
      </w:r>
    </w:p>
    <w:p>
      <w:r>
        <w:t>De las 50 columnas originales se retiraron once, cada una por una razón distinta.</w:t>
      </w:r>
    </w:p>
    <w:p>
      <w:pPr>
        <w:keepNext/>
        <w:spacing w:before="80" w:after="160"/>
        <w:jc w:val="center"/>
      </w:pPr>
      <w:r>
        <w:rPr>
          <w:b/>
          <w:color w:val="555A62"/>
          <w:sz w:val="17"/>
        </w:rPr>
        <w:t>Tabla 4.</w:t>
      </w:r>
      <w:r>
        <w:rPr>
          <w:color w:val="555A62"/>
          <w:sz w:val="17"/>
        </w:rPr>
        <w:t xml:space="preserve"> Columnas retiradas y motivo.</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041"/>
            <w:shd w:val="clear" w:fill="1F3B63"/>
          </w:tcPr>
          <w:p>
            <w:pPr>
              <w:spacing w:after="20" w:before="20"/>
              <w:jc w:val="center"/>
            </w:pPr>
            <w:r/>
            <w:r>
              <w:rPr>
                <w:b/>
                <w:color w:val="FFFFFF"/>
                <w:sz w:val="17"/>
              </w:rPr>
              <w:t>Columna</w:t>
            </w:r>
          </w:p>
        </w:tc>
        <w:tc>
          <w:tcPr>
            <w:tcW w:type="dxa" w:w="7030"/>
            <w:shd w:val="clear" w:fill="1F3B63"/>
          </w:tcPr>
          <w:p>
            <w:pPr>
              <w:spacing w:after="20" w:before="20"/>
              <w:jc w:val="center"/>
            </w:pPr>
            <w:r/>
            <w:r>
              <w:rPr>
                <w:b/>
                <w:color w:val="FFFFFF"/>
                <w:sz w:val="17"/>
              </w:rPr>
              <w:t>Motivo</w:t>
            </w:r>
          </w:p>
        </w:tc>
      </w:tr>
      <w:tr>
        <w:tc>
          <w:tcPr>
            <w:tcW w:type="dxa" w:w="2041"/>
          </w:tcPr>
          <w:p>
            <w:pPr>
              <w:spacing w:after="20" w:before="20"/>
              <w:jc w:val="left"/>
            </w:pPr>
            <w:r/>
            <w:r>
              <w:rPr>
                <w:sz w:val="17"/>
              </w:rPr>
              <w:t>weight</w:t>
            </w:r>
          </w:p>
        </w:tc>
        <w:tc>
          <w:tcPr>
            <w:tcW w:type="dxa" w:w="7030"/>
          </w:tcPr>
          <w:p>
            <w:pPr>
              <w:spacing w:after="20" w:before="20"/>
              <w:jc w:val="left"/>
            </w:pPr>
            <w:r/>
            <w:r>
              <w:rPr>
                <w:sz w:val="17"/>
              </w:rPr>
              <w:t>Ausente en el 96,86 % de los registros. Imputar casi toda la columna introduciría supuestos que el archivo no sostiene.</w:t>
            </w:r>
          </w:p>
        </w:tc>
      </w:tr>
      <w:tr>
        <w:tc>
          <w:tcPr>
            <w:tcW w:type="dxa" w:w="2041"/>
            <w:shd w:val="clear" w:fill="F7F8FA"/>
          </w:tcPr>
          <w:p>
            <w:pPr>
              <w:spacing w:after="20" w:before="20"/>
              <w:jc w:val="left"/>
            </w:pPr>
            <w:r/>
            <w:r>
              <w:rPr>
                <w:sz w:val="17"/>
              </w:rPr>
              <w:t>payer_code</w:t>
            </w:r>
          </w:p>
        </w:tc>
        <w:tc>
          <w:tcPr>
            <w:tcW w:type="dxa" w:w="7030"/>
            <w:shd w:val="clear" w:fill="F7F8FA"/>
          </w:tcPr>
          <w:p>
            <w:pPr>
              <w:spacing w:after="20" w:before="20"/>
              <w:jc w:val="left"/>
            </w:pPr>
            <w:r/>
            <w:r>
              <w:rPr>
                <w:sz w:val="17"/>
              </w:rPr>
              <w:t>39,56 % de ausencias y dependencia del sistema de aseguramiento estadounidense, ajeno al problema clínico.</w:t>
            </w:r>
          </w:p>
        </w:tc>
      </w:tr>
      <w:tr>
        <w:tc>
          <w:tcPr>
            <w:tcW w:type="dxa" w:w="2041"/>
          </w:tcPr>
          <w:p>
            <w:pPr>
              <w:spacing w:after="20" w:before="20"/>
              <w:jc w:val="left"/>
            </w:pPr>
            <w:r/>
            <w:r>
              <w:rPr>
                <w:sz w:val="17"/>
              </w:rPr>
              <w:t>examide, citoglipton</w:t>
            </w:r>
          </w:p>
        </w:tc>
        <w:tc>
          <w:tcPr>
            <w:tcW w:type="dxa" w:w="7030"/>
          </w:tcPr>
          <w:p>
            <w:pPr>
              <w:spacing w:after="20" w:before="20"/>
              <w:jc w:val="left"/>
            </w:pPr>
            <w:r/>
            <w:r>
              <w:rPr>
                <w:sz w:val="17"/>
              </w:rPr>
              <w:t>Constantes: toman un único valor en toda la base. Una columna sin variación no aporta información.</w:t>
            </w:r>
          </w:p>
        </w:tc>
      </w:tr>
      <w:tr>
        <w:tc>
          <w:tcPr>
            <w:tcW w:type="dxa" w:w="2041"/>
            <w:shd w:val="clear" w:fill="F7F8FA"/>
          </w:tcPr>
          <w:p>
            <w:pPr>
              <w:spacing w:after="20" w:before="20"/>
              <w:jc w:val="left"/>
            </w:pPr>
            <w:r/>
            <w:r>
              <w:rPr>
                <w:sz w:val="17"/>
              </w:rPr>
              <w:t>race</w:t>
            </w:r>
          </w:p>
        </w:tc>
        <w:tc>
          <w:tcPr>
            <w:tcW w:type="dxa" w:w="7030"/>
            <w:shd w:val="clear" w:fill="F7F8FA"/>
          </w:tcPr>
          <w:p>
            <w:pPr>
              <w:spacing w:after="20" w:before="20"/>
              <w:jc w:val="left"/>
            </w:pPr>
            <w:r/>
            <w:r>
              <w:rPr>
                <w:sz w:val="17"/>
              </w:rPr>
              <w:t>Excluida del modelo principal por decisión de la Fase 1, para no incorporar una variable sensible como predictor.</w:t>
            </w:r>
          </w:p>
        </w:tc>
      </w:tr>
      <w:tr>
        <w:tc>
          <w:tcPr>
            <w:tcW w:type="dxa" w:w="2041"/>
          </w:tcPr>
          <w:p>
            <w:pPr>
              <w:spacing w:after="20" w:before="20"/>
              <w:jc w:val="left"/>
            </w:pPr>
            <w:r/>
            <w:r>
              <w:rPr>
                <w:sz w:val="17"/>
              </w:rPr>
              <w:t>diag_1, diag_2, diag_3 · age</w:t>
            </w:r>
          </w:p>
        </w:tc>
        <w:tc>
          <w:tcPr>
            <w:tcW w:type="dxa" w:w="7030"/>
          </w:tcPr>
          <w:p>
            <w:pPr>
              <w:spacing w:after="20" w:before="20"/>
              <w:jc w:val="left"/>
            </w:pPr>
            <w:r/>
            <w:r>
              <w:rPr>
                <w:sz w:val="17"/>
              </w:rPr>
              <w:t>Reemplazadas por grupo_diag_1/2/3 y edad_num. Más de 700 códigos ICD-9 distintos generarían cientos de columnas casi vacías.</w:t>
            </w:r>
          </w:p>
        </w:tc>
      </w:tr>
      <w:tr>
        <w:tc>
          <w:tcPr>
            <w:tcW w:type="dxa" w:w="2041"/>
            <w:shd w:val="clear" w:fill="F7F8FA"/>
          </w:tcPr>
          <w:p>
            <w:pPr>
              <w:spacing w:after="20" w:before="20"/>
              <w:jc w:val="left"/>
            </w:pPr>
            <w:r/>
            <w:r>
              <w:rPr>
                <w:sz w:val="17"/>
              </w:rPr>
              <w:t>readmitted · encounter_id</w:t>
            </w:r>
          </w:p>
        </w:tc>
        <w:tc>
          <w:tcPr>
            <w:tcW w:type="dxa" w:w="7030"/>
            <w:shd w:val="clear" w:fill="F7F8FA"/>
          </w:tcPr>
          <w:p>
            <w:pPr>
              <w:spacing w:after="20" w:before="20"/>
              <w:jc w:val="left"/>
            </w:pPr>
            <w:r/>
            <w:r>
              <w:rPr>
                <w:sz w:val="17"/>
              </w:rPr>
              <w:t>La primera es el origen de y: dejarla sería fuga de información directa. El identificador del encuentro no se relaciona con el desenlace y el modelo podría memorizarlo.</w:t>
            </w:r>
          </w:p>
        </w:tc>
      </w:tr>
    </w:tbl>
    <w:p>
      <w:pPr>
        <w:spacing w:after="0"/>
      </w:pPr>
    </w:p>
    <w:p>
      <w:pPr>
        <w:keepNext/>
        <w:spacing w:before="180" w:after="100"/>
        <w:jc w:val="left"/>
      </w:pPr>
      <w:r>
        <w:rPr>
          <w:b/>
          <w:color w:val="1F3B63"/>
          <w:sz w:val="22"/>
        </w:rPr>
        <w:t>4.2  Características derivadas</w:t>
      </w:r>
    </w:p>
    <w:p>
      <w:r>
        <w:t>Se construyeron doce variables nuevas a partir de las existentes. La razón es que algunos conteos dicen poco por separado y mucho en combinación: veinte medicamentos en dos días no describen la misma situación clínica que veinte en diez días.</w:t>
      </w:r>
    </w:p>
    <w:p>
      <w:pPr>
        <w:keepNext/>
        <w:spacing w:before="80" w:after="160"/>
        <w:jc w:val="center"/>
      </w:pPr>
      <w:r>
        <w:rPr>
          <w:b/>
          <w:color w:val="555A62"/>
          <w:sz w:val="17"/>
        </w:rPr>
        <w:t>Tabla 5.</w:t>
      </w:r>
      <w:r>
        <w:rPr>
          <w:color w:val="555A62"/>
          <w:sz w:val="17"/>
        </w:rPr>
        <w:t xml:space="preserve"> Variables derivadas.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814"/>
            <w:shd w:val="clear" w:fill="1F3B63"/>
          </w:tcPr>
          <w:p>
            <w:pPr>
              <w:spacing w:after="20" w:before="20"/>
              <w:jc w:val="center"/>
            </w:pPr>
            <w:r/>
            <w:r>
              <w:rPr>
                <w:b/>
                <w:color w:val="FFFFFF"/>
                <w:sz w:val="17"/>
              </w:rPr>
              <w:t>Variable</w:t>
            </w:r>
          </w:p>
        </w:tc>
        <w:tc>
          <w:tcPr>
            <w:tcW w:type="dxa" w:w="3061"/>
            <w:shd w:val="clear" w:fill="1F3B63"/>
          </w:tcPr>
          <w:p>
            <w:pPr>
              <w:spacing w:after="20" w:before="20"/>
              <w:jc w:val="center"/>
            </w:pPr>
            <w:r/>
            <w:r>
              <w:rPr>
                <w:b/>
                <w:color w:val="FFFFFF"/>
                <w:sz w:val="17"/>
              </w:rPr>
              <w:t>Cálculo</w:t>
            </w:r>
          </w:p>
        </w:tc>
        <w:tc>
          <w:tcPr>
            <w:tcW w:type="dxa" w:w="4195"/>
            <w:shd w:val="clear" w:fill="1F3B63"/>
          </w:tcPr>
          <w:p>
            <w:pPr>
              <w:spacing w:after="20" w:before="20"/>
              <w:jc w:val="center"/>
            </w:pPr>
            <w:r/>
            <w:r>
              <w:rPr>
                <w:b/>
                <w:color w:val="FFFFFF"/>
                <w:sz w:val="17"/>
              </w:rPr>
              <w:t>Qué aporta</w:t>
            </w:r>
          </w:p>
        </w:tc>
      </w:tr>
      <w:tr>
        <w:tc>
          <w:tcPr>
            <w:tcW w:type="dxa" w:w="1814"/>
          </w:tcPr>
          <w:p>
            <w:pPr>
              <w:spacing w:after="20" w:before="20"/>
              <w:jc w:val="left"/>
            </w:pPr>
            <w:r/>
            <w:r>
              <w:rPr>
                <w:sz w:val="17"/>
              </w:rPr>
              <w:t>edad_num</w:t>
            </w:r>
          </w:p>
        </w:tc>
        <w:tc>
          <w:tcPr>
            <w:tcW w:type="dxa" w:w="3061"/>
          </w:tcPr>
          <w:p>
            <w:pPr>
              <w:spacing w:after="20" w:before="20"/>
              <w:jc w:val="left"/>
            </w:pPr>
            <w:r/>
            <w:r>
              <w:rPr>
                <w:sz w:val="17"/>
              </w:rPr>
              <w:t>punto medio del intervalo de age</w:t>
            </w:r>
          </w:p>
        </w:tc>
        <w:tc>
          <w:tcPr>
            <w:tcW w:type="dxa" w:w="4195"/>
          </w:tcPr>
          <w:p>
            <w:pPr>
              <w:spacing w:after="20" w:before="20"/>
              <w:jc w:val="left"/>
            </w:pPr>
            <w:r/>
            <w:r>
              <w:rPr>
                <w:sz w:val="17"/>
              </w:rPr>
              <w:t>convierte [60-70) en 65, un valor calculable</w:t>
            </w:r>
          </w:p>
        </w:tc>
      </w:tr>
      <w:tr>
        <w:tc>
          <w:tcPr>
            <w:tcW w:type="dxa" w:w="1814"/>
            <w:shd w:val="clear" w:fill="F7F8FA"/>
          </w:tcPr>
          <w:p>
            <w:pPr>
              <w:spacing w:after="20" w:before="20"/>
              <w:jc w:val="left"/>
            </w:pPr>
            <w:r/>
            <w:r>
              <w:rPr>
                <w:sz w:val="17"/>
              </w:rPr>
              <w:t>servicios_previos</w:t>
            </w:r>
          </w:p>
        </w:tc>
        <w:tc>
          <w:tcPr>
            <w:tcW w:type="dxa" w:w="3061"/>
            <w:shd w:val="clear" w:fill="F7F8FA"/>
          </w:tcPr>
          <w:p>
            <w:pPr>
              <w:spacing w:after="20" w:before="20"/>
              <w:jc w:val="left"/>
            </w:pPr>
            <w:r/>
            <w:r>
              <w:rPr>
                <w:sz w:val="17"/>
              </w:rPr>
              <w:t>consultas + urgencias + ingresos del año anterior</w:t>
            </w:r>
          </w:p>
        </w:tc>
        <w:tc>
          <w:tcPr>
            <w:tcW w:type="dxa" w:w="4195"/>
            <w:shd w:val="clear" w:fill="F7F8FA"/>
          </w:tcPr>
          <w:p>
            <w:pPr>
              <w:spacing w:after="20" w:before="20"/>
              <w:jc w:val="left"/>
            </w:pPr>
            <w:r/>
            <w:r>
              <w:rPr>
                <w:sz w:val="17"/>
              </w:rPr>
              <w:t>uso total de servicios previo</w:t>
            </w:r>
          </w:p>
        </w:tc>
      </w:tr>
      <w:tr>
        <w:tc>
          <w:tcPr>
            <w:tcW w:type="dxa" w:w="1814"/>
          </w:tcPr>
          <w:p>
            <w:pPr>
              <w:spacing w:after="20" w:before="20"/>
              <w:jc w:val="left"/>
            </w:pPr>
            <w:r/>
            <w:r>
              <w:rPr>
                <w:sz w:val="17"/>
              </w:rPr>
              <w:t>tuvo_ingreso_previo</w:t>
            </w:r>
          </w:p>
        </w:tc>
        <w:tc>
          <w:tcPr>
            <w:tcW w:type="dxa" w:w="3061"/>
          </w:tcPr>
          <w:p>
            <w:pPr>
              <w:spacing w:after="20" w:before="20"/>
              <w:jc w:val="left"/>
            </w:pPr>
            <w:r/>
            <w:r>
              <w:rPr>
                <w:sz w:val="17"/>
              </w:rPr>
              <w:t>1 si number_inpatient &gt; 0</w:t>
            </w:r>
          </w:p>
        </w:tc>
        <w:tc>
          <w:tcPr>
            <w:tcW w:type="dxa" w:w="4195"/>
          </w:tcPr>
          <w:p>
            <w:pPr>
              <w:spacing w:after="20" w:before="20"/>
              <w:jc w:val="left"/>
            </w:pPr>
            <w:r/>
            <w:r>
              <w:rPr>
                <w:sz w:val="17"/>
              </w:rPr>
              <w:t>la Fase 1 midió que el reingreso pasa de 8,49 % a 26,75 % con este dato</w:t>
            </w:r>
          </w:p>
        </w:tc>
      </w:tr>
      <w:tr>
        <w:tc>
          <w:tcPr>
            <w:tcW w:type="dxa" w:w="1814"/>
            <w:shd w:val="clear" w:fill="F7F8FA"/>
          </w:tcPr>
          <w:p>
            <w:pPr>
              <w:spacing w:after="20" w:before="20"/>
              <w:jc w:val="left"/>
            </w:pPr>
            <w:r/>
            <w:r>
              <w:rPr>
                <w:sz w:val="17"/>
              </w:rPr>
              <w:t>meds_por_dia</w:t>
            </w:r>
          </w:p>
        </w:tc>
        <w:tc>
          <w:tcPr>
            <w:tcW w:type="dxa" w:w="3061"/>
            <w:shd w:val="clear" w:fill="F7F8FA"/>
          </w:tcPr>
          <w:p>
            <w:pPr>
              <w:spacing w:after="20" w:before="20"/>
              <w:jc w:val="left"/>
            </w:pPr>
            <w:r/>
            <w:r>
              <w:rPr>
                <w:sz w:val="17"/>
              </w:rPr>
              <w:t>num_medications / time_in_hospital</w:t>
            </w:r>
          </w:p>
        </w:tc>
        <w:tc>
          <w:tcPr>
            <w:tcW w:type="dxa" w:w="4195"/>
            <w:shd w:val="clear" w:fill="F7F8FA"/>
          </w:tcPr>
          <w:p>
            <w:pPr>
              <w:spacing w:after="20" w:before="20"/>
              <w:jc w:val="left"/>
            </w:pPr>
            <w:r/>
            <w:r>
              <w:rPr>
                <w:sz w:val="17"/>
              </w:rPr>
              <w:t>intensidad del tratamiento</w:t>
            </w:r>
          </w:p>
        </w:tc>
      </w:tr>
      <w:tr>
        <w:tc>
          <w:tcPr>
            <w:tcW w:type="dxa" w:w="1814"/>
          </w:tcPr>
          <w:p>
            <w:pPr>
              <w:spacing w:after="20" w:before="20"/>
              <w:jc w:val="left"/>
            </w:pPr>
            <w:r/>
            <w:r>
              <w:rPr>
                <w:sz w:val="17"/>
              </w:rPr>
              <w:t>labs_por_dia</w:t>
            </w:r>
          </w:p>
        </w:tc>
        <w:tc>
          <w:tcPr>
            <w:tcW w:type="dxa" w:w="3061"/>
          </w:tcPr>
          <w:p>
            <w:pPr>
              <w:spacing w:after="20" w:before="20"/>
              <w:jc w:val="left"/>
            </w:pPr>
            <w:r/>
            <w:r>
              <w:rPr>
                <w:sz w:val="17"/>
              </w:rPr>
              <w:t>num_lab_procedures / time_in_hospital</w:t>
            </w:r>
          </w:p>
        </w:tc>
        <w:tc>
          <w:tcPr>
            <w:tcW w:type="dxa" w:w="4195"/>
          </w:tcPr>
          <w:p>
            <w:pPr>
              <w:spacing w:after="20" w:before="20"/>
              <w:jc w:val="left"/>
            </w:pPr>
            <w:r/>
            <w:r>
              <w:rPr>
                <w:sz w:val="17"/>
              </w:rPr>
              <w:t>intensidad del estudio diagnóstico</w:t>
            </w:r>
          </w:p>
        </w:tc>
      </w:tr>
      <w:tr>
        <w:tc>
          <w:tcPr>
            <w:tcW w:type="dxa" w:w="1814"/>
            <w:shd w:val="clear" w:fill="F7F8FA"/>
          </w:tcPr>
          <w:p>
            <w:pPr>
              <w:spacing w:after="20" w:before="20"/>
              <w:jc w:val="left"/>
            </w:pPr>
            <w:r/>
            <w:r>
              <w:rPr>
                <w:sz w:val="17"/>
              </w:rPr>
              <w:t>num_meds_activos</w:t>
            </w:r>
          </w:p>
        </w:tc>
        <w:tc>
          <w:tcPr>
            <w:tcW w:type="dxa" w:w="3061"/>
            <w:shd w:val="clear" w:fill="F7F8FA"/>
          </w:tcPr>
          <w:p>
            <w:pPr>
              <w:spacing w:after="20" w:before="20"/>
              <w:jc w:val="left"/>
            </w:pPr>
            <w:r/>
            <w:r>
              <w:rPr>
                <w:sz w:val="17"/>
              </w:rPr>
              <w:t>medicamentos de los 23 que no están en «No»</w:t>
            </w:r>
          </w:p>
        </w:tc>
        <w:tc>
          <w:tcPr>
            <w:tcW w:type="dxa" w:w="4195"/>
            <w:shd w:val="clear" w:fill="F7F8FA"/>
          </w:tcPr>
          <w:p>
            <w:pPr>
              <w:spacing w:after="20" w:before="20"/>
              <w:jc w:val="left"/>
            </w:pPr>
            <w:r/>
            <w:r>
              <w:rPr>
                <w:sz w:val="17"/>
              </w:rPr>
              <w:t>complejidad del esquema</w:t>
            </w:r>
          </w:p>
        </w:tc>
      </w:tr>
      <w:tr>
        <w:tc>
          <w:tcPr>
            <w:tcW w:type="dxa" w:w="1814"/>
          </w:tcPr>
          <w:p>
            <w:pPr>
              <w:spacing w:after="20" w:before="20"/>
              <w:jc w:val="left"/>
            </w:pPr>
            <w:r/>
            <w:r>
              <w:rPr>
                <w:sz w:val="17"/>
              </w:rPr>
              <w:t>hubo_cambio_med</w:t>
            </w:r>
          </w:p>
        </w:tc>
        <w:tc>
          <w:tcPr>
            <w:tcW w:type="dxa" w:w="3061"/>
          </w:tcPr>
          <w:p>
            <w:pPr>
              <w:spacing w:after="20" w:before="20"/>
              <w:jc w:val="left"/>
            </w:pPr>
            <w:r/>
            <w:r>
              <w:rPr>
                <w:sz w:val="17"/>
              </w:rPr>
              <w:t>1 si change = «Ch»</w:t>
            </w:r>
          </w:p>
        </w:tc>
        <w:tc>
          <w:tcPr>
            <w:tcW w:type="dxa" w:w="4195"/>
          </w:tcPr>
          <w:p>
            <w:pPr>
              <w:spacing w:after="20" w:before="20"/>
              <w:jc w:val="left"/>
            </w:pPr>
            <w:r/>
            <w:r>
              <w:rPr>
                <w:sz w:val="17"/>
              </w:rPr>
              <w:t>hubo ajuste del tratamiento</w:t>
            </w:r>
          </w:p>
        </w:tc>
      </w:tr>
      <w:tr>
        <w:tc>
          <w:tcPr>
            <w:tcW w:type="dxa" w:w="1814"/>
            <w:shd w:val="clear" w:fill="F7F8FA"/>
          </w:tcPr>
          <w:p>
            <w:pPr>
              <w:spacing w:after="20" w:before="20"/>
              <w:jc w:val="left"/>
            </w:pPr>
            <w:r/>
            <w:r>
              <w:rPr>
                <w:sz w:val="17"/>
              </w:rPr>
              <w:t>a1c_medida</w:t>
            </w:r>
          </w:p>
        </w:tc>
        <w:tc>
          <w:tcPr>
            <w:tcW w:type="dxa" w:w="3061"/>
            <w:shd w:val="clear" w:fill="F7F8FA"/>
          </w:tcPr>
          <w:p>
            <w:pPr>
              <w:spacing w:after="20" w:before="20"/>
              <w:jc w:val="left"/>
            </w:pPr>
            <w:r/>
            <w:r>
              <w:rPr>
                <w:sz w:val="17"/>
              </w:rPr>
              <w:t>1 si se midió hemoglobina glicosilada</w:t>
            </w:r>
          </w:p>
        </w:tc>
        <w:tc>
          <w:tcPr>
            <w:tcW w:type="dxa" w:w="4195"/>
            <w:shd w:val="clear" w:fill="F7F8FA"/>
          </w:tcPr>
          <w:p>
            <w:pPr>
              <w:spacing w:after="20" w:before="20"/>
              <w:jc w:val="left"/>
            </w:pPr>
            <w:r/>
            <w:r>
              <w:rPr>
                <w:sz w:val="17"/>
              </w:rPr>
              <w:t>Strack et al. (2014) la asocian al reingreso</w:t>
            </w:r>
          </w:p>
        </w:tc>
      </w:tr>
      <w:tr>
        <w:tc>
          <w:tcPr>
            <w:tcW w:type="dxa" w:w="1814"/>
          </w:tcPr>
          <w:p>
            <w:pPr>
              <w:spacing w:after="20" w:before="20"/>
              <w:jc w:val="left"/>
            </w:pPr>
            <w:r/>
            <w:r>
              <w:rPr>
                <w:sz w:val="17"/>
              </w:rPr>
              <w:t>glu_medida</w:t>
            </w:r>
          </w:p>
        </w:tc>
        <w:tc>
          <w:tcPr>
            <w:tcW w:type="dxa" w:w="3061"/>
          </w:tcPr>
          <w:p>
            <w:pPr>
              <w:spacing w:after="20" w:before="20"/>
              <w:jc w:val="left"/>
            </w:pPr>
            <w:r/>
            <w:r>
              <w:rPr>
                <w:sz w:val="17"/>
              </w:rPr>
              <w:t>1 si se midió glucosa en suero</w:t>
            </w:r>
          </w:p>
        </w:tc>
        <w:tc>
          <w:tcPr>
            <w:tcW w:type="dxa" w:w="4195"/>
          </w:tcPr>
          <w:p>
            <w:pPr>
              <w:spacing w:after="20" w:before="20"/>
              <w:jc w:val="left"/>
            </w:pPr>
            <w:r/>
            <w:r>
              <w:rPr>
                <w:sz w:val="17"/>
              </w:rPr>
              <w:t>misma lógica que la anterior</w:t>
            </w:r>
          </w:p>
        </w:tc>
      </w:tr>
      <w:tr>
        <w:tc>
          <w:tcPr>
            <w:tcW w:type="dxa" w:w="1814"/>
            <w:shd w:val="clear" w:fill="F7F8FA"/>
          </w:tcPr>
          <w:p>
            <w:pPr>
              <w:spacing w:after="20" w:before="20"/>
              <w:jc w:val="left"/>
            </w:pPr>
            <w:r/>
            <w:r>
              <w:rPr>
                <w:sz w:val="17"/>
              </w:rPr>
              <w:t>grupo_diag_1/2/3</w:t>
            </w:r>
          </w:p>
        </w:tc>
        <w:tc>
          <w:tcPr>
            <w:tcW w:type="dxa" w:w="3061"/>
            <w:shd w:val="clear" w:fill="F7F8FA"/>
          </w:tcPr>
          <w:p>
            <w:pPr>
              <w:spacing w:after="20" w:before="20"/>
              <w:jc w:val="left"/>
            </w:pPr>
            <w:r/>
            <w:r>
              <w:rPr>
                <w:sz w:val="17"/>
              </w:rPr>
              <w:t>agrupación de los códigos ICD-9</w:t>
            </w:r>
          </w:p>
        </w:tc>
        <w:tc>
          <w:tcPr>
            <w:tcW w:type="dxa" w:w="4195"/>
            <w:shd w:val="clear" w:fill="F7F8FA"/>
          </w:tcPr>
          <w:p>
            <w:pPr>
              <w:spacing w:after="20" w:before="20"/>
              <w:jc w:val="left"/>
            </w:pPr>
            <w:r/>
            <w:r>
              <w:rPr>
                <w:sz w:val="17"/>
              </w:rPr>
              <w:t>nueve categorías en lugar de cientos de códigos</w:t>
            </w:r>
          </w:p>
        </w:tc>
      </w:tr>
    </w:tbl>
    <w:p>
      <w:pPr>
        <w:spacing w:after="0"/>
      </w:pPr>
    </w:p>
    <w:p>
      <w:r>
        <w:t>La agrupación de diagnósticos replica las nueve categorías del estudio original —circulatorio, respiratorio, digestivo, diabetes, lesiones, musculoesquelético, genitourinario, neoplasias y otros—, definidas por rangos ICD-9. En diag_1 la más frecuente es circulatorio, con 29.681 registros.</w:t>
      </w:r>
    </w:p>
    <w:p>
      <w:pPr>
        <w:keepNext/>
        <w:spacing w:before="180" w:after="100"/>
        <w:jc w:val="left"/>
      </w:pPr>
      <w:r>
        <w:rPr>
          <w:b/>
          <w:color w:val="1F3B63"/>
          <w:sz w:val="22"/>
        </w:rPr>
        <w:t>4.3  Corrección del tipo de los códigos administrativos</w:t>
      </w:r>
    </w:p>
    <w:p>
      <w:pPr>
        <w:spacing w:before="120" w:after="160"/>
        <w:ind w:left="227"/>
        <w:jc w:val="both"/>
        <w:pBdr>
          <w:left w:val="single" w:sz="18" w:space="8" w:color="1F3B63"/>
        </w:pBdr>
      </w:pPr>
      <w:r>
        <w:rPr>
          <w:sz w:val="20"/>
        </w:rPr>
        <w:t xml:space="preserve">Durante la construcción del cuaderno 02 se detectó que admission_type_id, discharge_disposition_id y admission_source_id venían almacenados como enteros y, por tanto, la detección automática de tipos los clasificaba como variables </w:t>
      </w:r>
      <w:r>
        <w:rPr>
          <w:b/>
          <w:sz w:val="20"/>
        </w:rPr>
        <w:t>numéricas</w:t>
      </w:r>
      <w:r>
        <w:rPr>
          <w:sz w:val="20"/>
        </w:rPr>
        <w:t>. Son códigos: el valor 6 no es «mayor» que el 3 en ningún sentido útil. Tratarlos como números habría llevado al modelo a interpretar un orden inexistente y a escalarlos como si midieran una magnitud. Se forzó su conversión a texto y se corrigió en un commit independiente (047f9ff) para dejar constancia del error y de su arreglo.</w:t>
      </w:r>
    </w:p>
    <w:p>
      <w:pPr>
        <w:keepNext/>
        <w:spacing w:before="180" w:after="100"/>
        <w:jc w:val="left"/>
      </w:pPr>
      <w:r>
        <w:rPr>
          <w:b/>
          <w:color w:val="1F3B63"/>
          <w:sz w:val="22"/>
        </w:rPr>
        <w:t>4.4  Conjunto final de predictores</w:t>
      </w:r>
    </w:p>
    <w:p>
      <w:r>
        <w:t xml:space="preserve">Tras los retiros y las derivaciones quedan </w:t>
      </w:r>
      <w:r>
        <w:rPr>
          <w:b/>
        </w:rPr>
        <w:t>50 predictores</w:t>
      </w:r>
      <w:r>
        <w:t>: 17 numéricos y 33 categóricos. Las variables de identificación (patient_nbr) y la columna de partición se conservan en el archivo procesado para trazabilidad, pero no entran al modelo.</w:t>
      </w:r>
    </w:p>
    <w:p>
      <w:pPr>
        <w:keepNext/>
        <w:spacing w:before="180" w:after="100"/>
        <w:jc w:val="left"/>
      </w:pPr>
      <w:r>
        <w:rPr>
          <w:b/>
          <w:color w:val="1F3B63"/>
          <w:sz w:val="22"/>
        </w:rPr>
        <w:t>4.5  Transformaciones dentro del pipeline</w:t>
      </w:r>
    </w:p>
    <w:p>
      <w:r>
        <w:t xml:space="preserve">Todas las transformaciones se ajustan </w:t>
      </w:r>
      <w:r>
        <w:rPr>
          <w:b/>
        </w:rPr>
        <w:t>únicamente con el conjunto de entrenamiento</w:t>
      </w:r>
      <w:r>
        <w:t xml:space="preserve"> y se aplican después a validación y prueba, encapsuladas en objetos Pipeline y ColumnTransformer de scikit-learn. Así se evita la forma más común de fuga de información: calcular una mediana con datos que el modelo no debería haber visto.</w:t>
      </w:r>
    </w:p>
    <w:p>
      <w:pPr>
        <w:keepNext/>
        <w:spacing w:before="80" w:after="160"/>
        <w:jc w:val="center"/>
      </w:pPr>
      <w:r>
        <w:rPr>
          <w:b/>
          <w:color w:val="555A62"/>
          <w:sz w:val="17"/>
        </w:rPr>
        <w:t>Tabla 6.</w:t>
      </w:r>
      <w:r>
        <w:rPr>
          <w:color w:val="555A62"/>
          <w:sz w:val="17"/>
        </w:rPr>
        <w:t xml:space="preserve"> Transformaciones aplicadas según el tipo de modelo.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268"/>
            <w:shd w:val="clear" w:fill="1F3B63"/>
          </w:tcPr>
          <w:p>
            <w:pPr>
              <w:spacing w:after="20" w:before="20"/>
              <w:jc w:val="center"/>
            </w:pPr>
            <w:r/>
            <w:r>
              <w:rPr>
                <w:b/>
                <w:color w:val="FFFFFF"/>
                <w:sz w:val="17"/>
              </w:rPr>
              <w:t>Paso</w:t>
            </w:r>
          </w:p>
        </w:tc>
        <w:tc>
          <w:tcPr>
            <w:tcW w:type="dxa" w:w="3402"/>
            <w:shd w:val="clear" w:fill="1F3B63"/>
          </w:tcPr>
          <w:p>
            <w:pPr>
              <w:spacing w:after="20" w:before="20"/>
              <w:jc w:val="center"/>
            </w:pPr>
            <w:r/>
            <w:r>
              <w:rPr>
                <w:b/>
                <w:color w:val="FFFFFF"/>
                <w:sz w:val="17"/>
              </w:rPr>
              <w:t>Modelos lineales</w:t>
            </w:r>
          </w:p>
        </w:tc>
        <w:tc>
          <w:tcPr>
            <w:tcW w:type="dxa" w:w="3402"/>
            <w:shd w:val="clear" w:fill="1F3B63"/>
          </w:tcPr>
          <w:p>
            <w:pPr>
              <w:spacing w:after="20" w:before="20"/>
              <w:jc w:val="center"/>
            </w:pPr>
            <w:r/>
            <w:r>
              <w:rPr>
                <w:b/>
                <w:color w:val="FFFFFF"/>
                <w:sz w:val="17"/>
              </w:rPr>
              <w:t>Modelos de árboles</w:t>
            </w:r>
          </w:p>
        </w:tc>
      </w:tr>
      <w:tr>
        <w:tc>
          <w:tcPr>
            <w:tcW w:type="dxa" w:w="2268"/>
          </w:tcPr>
          <w:p>
            <w:pPr>
              <w:spacing w:after="20" w:before="20"/>
              <w:jc w:val="left"/>
            </w:pPr>
            <w:r/>
            <w:r>
              <w:rPr>
                <w:sz w:val="17"/>
              </w:rPr>
              <w:t>Numéricas · faltantes</w:t>
            </w:r>
          </w:p>
        </w:tc>
        <w:tc>
          <w:tcPr>
            <w:tcW w:type="dxa" w:w="3402"/>
          </w:tcPr>
          <w:p>
            <w:pPr>
              <w:spacing w:after="20" w:before="20"/>
              <w:jc w:val="left"/>
            </w:pPr>
            <w:r/>
            <w:r>
              <w:rPr>
                <w:sz w:val="17"/>
              </w:rPr>
              <w:t>imputación por la mediana</w:t>
            </w:r>
          </w:p>
        </w:tc>
        <w:tc>
          <w:tcPr>
            <w:tcW w:type="dxa" w:w="3402"/>
          </w:tcPr>
          <w:p>
            <w:pPr>
              <w:spacing w:after="20" w:before="20"/>
              <w:jc w:val="left"/>
            </w:pPr>
            <w:r/>
            <w:r>
              <w:rPr>
                <w:sz w:val="17"/>
              </w:rPr>
              <w:t>imputación nativa del algoritmo</w:t>
            </w:r>
          </w:p>
        </w:tc>
      </w:tr>
      <w:tr>
        <w:tc>
          <w:tcPr>
            <w:tcW w:type="dxa" w:w="2268"/>
            <w:shd w:val="clear" w:fill="F7F8FA"/>
          </w:tcPr>
          <w:p>
            <w:pPr>
              <w:spacing w:after="20" w:before="20"/>
              <w:jc w:val="left"/>
            </w:pPr>
            <w:r/>
            <w:r>
              <w:rPr>
                <w:sz w:val="17"/>
              </w:rPr>
              <w:t>Numéricas · escala</w:t>
            </w:r>
          </w:p>
        </w:tc>
        <w:tc>
          <w:tcPr>
            <w:tcW w:type="dxa" w:w="3402"/>
            <w:shd w:val="clear" w:fill="F7F8FA"/>
          </w:tcPr>
          <w:p>
            <w:pPr>
              <w:spacing w:after="20" w:before="20"/>
              <w:jc w:val="left"/>
            </w:pPr>
            <w:r/>
            <w:r>
              <w:rPr>
                <w:sz w:val="17"/>
              </w:rPr>
              <w:t>StandardScaler (media 0, desviación 1)</w:t>
            </w:r>
          </w:p>
        </w:tc>
        <w:tc>
          <w:tcPr>
            <w:tcW w:type="dxa" w:w="3402"/>
            <w:shd w:val="clear" w:fill="F7F8FA"/>
          </w:tcPr>
          <w:p>
            <w:pPr>
              <w:spacing w:after="20" w:before="20"/>
              <w:jc w:val="left"/>
            </w:pPr>
            <w:r/>
            <w:r>
              <w:rPr>
                <w:sz w:val="17"/>
              </w:rPr>
              <w:t>sin escalar: los árboles solo comparan umbrales</w:t>
            </w:r>
          </w:p>
        </w:tc>
      </w:tr>
      <w:tr>
        <w:tc>
          <w:tcPr>
            <w:tcW w:type="dxa" w:w="2268"/>
          </w:tcPr>
          <w:p>
            <w:pPr>
              <w:spacing w:after="20" w:before="20"/>
              <w:jc w:val="left"/>
            </w:pPr>
            <w:r/>
            <w:r>
              <w:rPr>
                <w:sz w:val="17"/>
              </w:rPr>
              <w:t>Categóricas · faltantes</w:t>
            </w:r>
          </w:p>
        </w:tc>
        <w:tc>
          <w:tcPr>
            <w:tcW w:type="dxa" w:w="3402"/>
          </w:tcPr>
          <w:p>
            <w:pPr>
              <w:spacing w:after="20" w:before="20"/>
              <w:jc w:val="left"/>
            </w:pPr>
            <w:r/>
            <w:r>
              <w:rPr>
                <w:sz w:val="17"/>
              </w:rPr>
              <w:t>categoría «Ausente»</w:t>
            </w:r>
          </w:p>
        </w:tc>
        <w:tc>
          <w:tcPr>
            <w:tcW w:type="dxa" w:w="3402"/>
          </w:tcPr>
          <w:p>
            <w:pPr>
              <w:spacing w:after="20" w:before="20"/>
              <w:jc w:val="left"/>
            </w:pPr>
            <w:r/>
            <w:r>
              <w:rPr>
                <w:sz w:val="17"/>
              </w:rPr>
              <w:t>categoría «Ausente»</w:t>
            </w:r>
          </w:p>
        </w:tc>
      </w:tr>
      <w:tr>
        <w:tc>
          <w:tcPr>
            <w:tcW w:type="dxa" w:w="2268"/>
            <w:shd w:val="clear" w:fill="F7F8FA"/>
          </w:tcPr>
          <w:p>
            <w:pPr>
              <w:spacing w:after="20" w:before="20"/>
              <w:jc w:val="left"/>
            </w:pPr>
            <w:r/>
            <w:r>
              <w:rPr>
                <w:sz w:val="17"/>
              </w:rPr>
              <w:t>Categóricas · codificación</w:t>
            </w:r>
          </w:p>
        </w:tc>
        <w:tc>
          <w:tcPr>
            <w:tcW w:type="dxa" w:w="3402"/>
            <w:shd w:val="clear" w:fill="F7F8FA"/>
          </w:tcPr>
          <w:p>
            <w:pPr>
              <w:spacing w:after="20" w:before="20"/>
              <w:jc w:val="left"/>
            </w:pPr>
            <w:r/>
            <w:r>
              <w:rPr>
                <w:sz w:val="17"/>
              </w:rPr>
              <w:t>OneHotEncoder con min_frequency = 20</w:t>
            </w:r>
          </w:p>
        </w:tc>
        <w:tc>
          <w:tcPr>
            <w:tcW w:type="dxa" w:w="3402"/>
            <w:shd w:val="clear" w:fill="F7F8FA"/>
          </w:tcPr>
          <w:p>
            <w:pPr>
              <w:spacing w:after="20" w:before="20"/>
              <w:jc w:val="left"/>
            </w:pPr>
            <w:r/>
            <w:r>
              <w:rPr>
                <w:sz w:val="17"/>
              </w:rPr>
              <w:t>OrdinalEncoder + tratamiento categórico nativo</w:t>
            </w:r>
          </w:p>
        </w:tc>
      </w:tr>
      <w:tr>
        <w:tc>
          <w:tcPr>
            <w:tcW w:type="dxa" w:w="2268"/>
            <w:shd w:val="clear" w:fill="EDF0F5"/>
          </w:tcPr>
          <w:p>
            <w:pPr>
              <w:spacing w:after="20" w:before="20"/>
              <w:jc w:val="left"/>
            </w:pPr>
            <w:r>
              <w:rPr>
                <w:b/>
              </w:rPr>
            </w:r>
            <w:r>
              <w:rPr>
                <w:b/>
                <w:sz w:val="17"/>
              </w:rPr>
              <w:t>Columnas resultantes</w:t>
            </w:r>
          </w:p>
        </w:tc>
        <w:tc>
          <w:tcPr>
            <w:tcW w:type="dxa" w:w="3402"/>
            <w:shd w:val="clear" w:fill="EDF0F5"/>
          </w:tcPr>
          <w:p>
            <w:pPr>
              <w:spacing w:after="20" w:before="20"/>
              <w:jc w:val="left"/>
            </w:pPr>
            <w:r>
              <w:rPr>
                <w:b/>
              </w:rPr>
            </w:r>
            <w:r>
              <w:rPr>
                <w:b/>
                <w:sz w:val="17"/>
              </w:rPr>
              <w:t>200</w:t>
            </w:r>
          </w:p>
        </w:tc>
        <w:tc>
          <w:tcPr>
            <w:tcW w:type="dxa" w:w="3402"/>
            <w:shd w:val="clear" w:fill="EDF0F5"/>
          </w:tcPr>
          <w:p>
            <w:pPr>
              <w:spacing w:after="20" w:before="20"/>
              <w:jc w:val="left"/>
            </w:pPr>
            <w:r>
              <w:rPr>
                <w:b/>
              </w:rPr>
            </w:r>
            <w:r>
              <w:rPr>
                <w:b/>
                <w:sz w:val="17"/>
              </w:rPr>
              <w:t>50</w:t>
            </w:r>
          </w:p>
        </w:tc>
      </w:tr>
    </w:tbl>
    <w:p>
      <w:pPr>
        <w:spacing w:after="0"/>
      </w:pPr>
    </w:p>
    <w:p>
      <w:r>
        <w:t>El parámetro min_frequency = 20 agrupa en una categoría «infrecuente» los valores con menos de veinte apariciones en entrenamiento: sin él, la codificación one-hot generaría columnas con tres o cuatro unos entre 59.605 filas, que el modelo lineal ajustaría sin aprender nada generalizable.</w:t>
      </w:r>
    </w:p>
    <w:p>
      <w:pPr>
        <w:keepNext/>
        <w:spacing w:before="220" w:after="100"/>
        <w:jc w:val="left"/>
        <w:pBdr>
          <w:bottom w:val="single" w:sz="6" w:space="3" w:color="C5CEDC"/>
        </w:pBdr>
      </w:pPr>
      <w:r>
        <w:rPr>
          <w:b/>
          <w:color w:val="1F3B63"/>
          <w:sz w:val="26"/>
        </w:rPr>
        <w:t>5.  Partición en entrenamiento, validación y prueba</w:t>
      </w:r>
    </w:p>
    <w:p>
      <w:r>
        <w:t>La partición es la decisión metodológica más importante del proyecto. Con 16.341 pacientes de la cohorte que tienen más de una hospitalización —hasta 40 en un caso—, repartir filas al azar colocaría episodios de la misma persona en entrenamiento y en prueba. El modelo reconocería al paciente en lugar de aprender el patrón, y el desempeño medido sería optimista y falso.</w:t>
      </w:r>
    </w:p>
    <w:p>
      <w:r>
        <w:t xml:space="preserve">Se empleó </w:t>
      </w:r>
      <w:r>
        <w:rPr>
          <w:b/>
        </w:rPr>
        <w:t>StratifiedGroupKFold</w:t>
      </w:r>
      <w:r>
        <w:t xml:space="preserve"> con cinco pliegues, agrupando por patient_nbr y estratificando por y: tres pliegues forman entrenamiento, uno validación y uno prueba. El procedimiento es determinista —con shuffle desactivado no interviene ninguna semilla—, de modo que cualquiera que ejecute el cuaderno obtiene los mismos conjuntos, idénticos a los reportados en la Fase 1.</w:t>
      </w:r>
    </w:p>
    <w:p>
      <w:pPr>
        <w:keepNext/>
        <w:spacing w:before="80" w:after="160"/>
        <w:jc w:val="center"/>
      </w:pPr>
      <w:r>
        <w:rPr>
          <w:b/>
          <w:color w:val="555A62"/>
          <w:sz w:val="17"/>
        </w:rPr>
        <w:t>Tabla 7.</w:t>
      </w:r>
      <w:r>
        <w:rPr>
          <w:color w:val="555A62"/>
          <w:sz w:val="17"/>
        </w:rPr>
        <w:t xml:space="preserve"> Composición de los tres conjuntos.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814"/>
            <w:shd w:val="clear" w:fill="1F3B63"/>
          </w:tcPr>
          <w:p>
            <w:pPr>
              <w:spacing w:after="20" w:before="20"/>
              <w:jc w:val="center"/>
            </w:pPr>
            <w:r/>
            <w:r>
              <w:rPr>
                <w:b/>
                <w:color w:val="FFFFFF"/>
                <w:sz w:val="18"/>
              </w:rPr>
              <w:t>Conjunto</w:t>
            </w:r>
          </w:p>
        </w:tc>
        <w:tc>
          <w:tcPr>
            <w:tcW w:type="dxa" w:w="1928"/>
            <w:shd w:val="clear" w:fill="1F3B63"/>
          </w:tcPr>
          <w:p>
            <w:pPr>
              <w:spacing w:after="20" w:before="20"/>
              <w:jc w:val="center"/>
            </w:pPr>
            <w:r/>
            <w:r>
              <w:rPr>
                <w:b/>
                <w:color w:val="FFFFFF"/>
                <w:sz w:val="18"/>
              </w:rPr>
              <w:t>Hospitalizaciones</w:t>
            </w:r>
          </w:p>
        </w:tc>
        <w:tc>
          <w:tcPr>
            <w:tcW w:type="dxa" w:w="907"/>
            <w:shd w:val="clear" w:fill="1F3B63"/>
          </w:tcPr>
          <w:p>
            <w:pPr>
              <w:spacing w:after="20" w:before="20"/>
              <w:jc w:val="center"/>
            </w:pPr>
            <w:r/>
            <w:r>
              <w:rPr>
                <w:b/>
                <w:color w:val="FFFFFF"/>
                <w:sz w:val="18"/>
              </w:rPr>
              <w:t>%</w:t>
            </w:r>
          </w:p>
        </w:tc>
        <w:tc>
          <w:tcPr>
            <w:tcW w:type="dxa" w:w="1474"/>
            <w:shd w:val="clear" w:fill="1F3B63"/>
          </w:tcPr>
          <w:p>
            <w:pPr>
              <w:spacing w:after="20" w:before="20"/>
              <w:jc w:val="center"/>
            </w:pPr>
            <w:r/>
            <w:r>
              <w:rPr>
                <w:b/>
                <w:color w:val="FFFFFF"/>
                <w:sz w:val="18"/>
              </w:rPr>
              <w:t>Pacientes</w:t>
            </w:r>
          </w:p>
        </w:tc>
        <w:tc>
          <w:tcPr>
            <w:tcW w:type="dxa" w:w="1361"/>
            <w:shd w:val="clear" w:fill="1F3B63"/>
          </w:tcPr>
          <w:p>
            <w:pPr>
              <w:spacing w:after="20" w:before="20"/>
              <w:jc w:val="center"/>
            </w:pPr>
            <w:r/>
            <w:r>
              <w:rPr>
                <w:b/>
                <w:color w:val="FFFFFF"/>
                <w:sz w:val="18"/>
              </w:rPr>
              <w:t>Positivos</w:t>
            </w:r>
          </w:p>
        </w:tc>
        <w:tc>
          <w:tcPr>
            <w:tcW w:type="dxa" w:w="1587"/>
            <w:shd w:val="clear" w:fill="1F3B63"/>
          </w:tcPr>
          <w:p>
            <w:pPr>
              <w:spacing w:after="20" w:before="20"/>
              <w:jc w:val="center"/>
            </w:pPr>
            <w:r/>
            <w:r>
              <w:rPr>
                <w:b/>
                <w:color w:val="FFFFFF"/>
                <w:sz w:val="18"/>
              </w:rPr>
              <w:t>Prevalencia</w:t>
            </w:r>
          </w:p>
        </w:tc>
      </w:tr>
      <w:tr>
        <w:tc>
          <w:tcPr>
            <w:tcW w:type="dxa" w:w="1814"/>
          </w:tcPr>
          <w:p>
            <w:pPr>
              <w:spacing w:after="20" w:before="20"/>
              <w:jc w:val="left"/>
            </w:pPr>
            <w:r/>
            <w:r>
              <w:rPr>
                <w:sz w:val="18"/>
              </w:rPr>
              <w:t>Entrenamiento</w:t>
            </w:r>
          </w:p>
        </w:tc>
        <w:tc>
          <w:tcPr>
            <w:tcW w:type="dxa" w:w="1928"/>
          </w:tcPr>
          <w:p>
            <w:pPr>
              <w:spacing w:after="20" w:before="20"/>
              <w:jc w:val="center"/>
            </w:pPr>
            <w:r/>
            <w:r>
              <w:rPr>
                <w:sz w:val="18"/>
              </w:rPr>
              <w:t>59.605</w:t>
            </w:r>
          </w:p>
        </w:tc>
        <w:tc>
          <w:tcPr>
            <w:tcW w:type="dxa" w:w="907"/>
          </w:tcPr>
          <w:p>
            <w:pPr>
              <w:spacing w:after="20" w:before="20"/>
              <w:jc w:val="center"/>
            </w:pPr>
            <w:r/>
            <w:r>
              <w:rPr>
                <w:sz w:val="18"/>
              </w:rPr>
              <w:t>60,0</w:t>
            </w:r>
          </w:p>
        </w:tc>
        <w:tc>
          <w:tcPr>
            <w:tcW w:type="dxa" w:w="1474"/>
          </w:tcPr>
          <w:p>
            <w:pPr>
              <w:spacing w:after="20" w:before="20"/>
              <w:jc w:val="center"/>
            </w:pPr>
            <w:r/>
            <w:r>
              <w:rPr>
                <w:sz w:val="18"/>
              </w:rPr>
              <w:t>41.988</w:t>
            </w:r>
          </w:p>
        </w:tc>
        <w:tc>
          <w:tcPr>
            <w:tcW w:type="dxa" w:w="1361"/>
          </w:tcPr>
          <w:p>
            <w:pPr>
              <w:spacing w:after="20" w:before="20"/>
              <w:jc w:val="center"/>
            </w:pPr>
            <w:r/>
            <w:r>
              <w:rPr>
                <w:sz w:val="18"/>
              </w:rPr>
              <w:t>6.789</w:t>
            </w:r>
          </w:p>
        </w:tc>
        <w:tc>
          <w:tcPr>
            <w:tcW w:type="dxa" w:w="1587"/>
          </w:tcPr>
          <w:p>
            <w:pPr>
              <w:spacing w:after="20" w:before="20"/>
              <w:jc w:val="center"/>
            </w:pPr>
            <w:r/>
            <w:r>
              <w:rPr>
                <w:sz w:val="18"/>
              </w:rPr>
              <w:t>11,390 %</w:t>
            </w:r>
          </w:p>
        </w:tc>
      </w:tr>
      <w:tr>
        <w:tc>
          <w:tcPr>
            <w:tcW w:type="dxa" w:w="1814"/>
            <w:shd w:val="clear" w:fill="F7F8FA"/>
          </w:tcPr>
          <w:p>
            <w:pPr>
              <w:spacing w:after="20" w:before="20"/>
              <w:jc w:val="left"/>
            </w:pPr>
            <w:r/>
            <w:r>
              <w:rPr>
                <w:sz w:val="18"/>
              </w:rPr>
              <w:t>Validación</w:t>
            </w:r>
          </w:p>
        </w:tc>
        <w:tc>
          <w:tcPr>
            <w:tcW w:type="dxa" w:w="1928"/>
            <w:shd w:val="clear" w:fill="F7F8FA"/>
          </w:tcPr>
          <w:p>
            <w:pPr>
              <w:spacing w:after="20" w:before="20"/>
              <w:jc w:val="center"/>
            </w:pPr>
            <w:r/>
            <w:r>
              <w:rPr>
                <w:sz w:val="18"/>
              </w:rPr>
              <w:t>19.868</w:t>
            </w:r>
          </w:p>
        </w:tc>
        <w:tc>
          <w:tcPr>
            <w:tcW w:type="dxa" w:w="907"/>
            <w:shd w:val="clear" w:fill="F7F8FA"/>
          </w:tcPr>
          <w:p>
            <w:pPr>
              <w:spacing w:after="20" w:before="20"/>
              <w:jc w:val="center"/>
            </w:pPr>
            <w:r/>
            <w:r>
              <w:rPr>
                <w:sz w:val="18"/>
              </w:rPr>
              <w:t>20,0</w:t>
            </w:r>
          </w:p>
        </w:tc>
        <w:tc>
          <w:tcPr>
            <w:tcW w:type="dxa" w:w="1474"/>
            <w:shd w:val="clear" w:fill="F7F8FA"/>
          </w:tcPr>
          <w:p>
            <w:pPr>
              <w:spacing w:after="20" w:before="20"/>
              <w:jc w:val="center"/>
            </w:pPr>
            <w:r/>
            <w:r>
              <w:rPr>
                <w:sz w:val="18"/>
              </w:rPr>
              <w:t>13.982</w:t>
            </w:r>
          </w:p>
        </w:tc>
        <w:tc>
          <w:tcPr>
            <w:tcW w:type="dxa" w:w="1361"/>
            <w:shd w:val="clear" w:fill="F7F8FA"/>
          </w:tcPr>
          <w:p>
            <w:pPr>
              <w:spacing w:after="20" w:before="20"/>
              <w:jc w:val="center"/>
            </w:pPr>
            <w:r/>
            <w:r>
              <w:rPr>
                <w:sz w:val="18"/>
              </w:rPr>
              <w:t>2.262</w:t>
            </w:r>
          </w:p>
        </w:tc>
        <w:tc>
          <w:tcPr>
            <w:tcW w:type="dxa" w:w="1587"/>
            <w:shd w:val="clear" w:fill="F7F8FA"/>
          </w:tcPr>
          <w:p>
            <w:pPr>
              <w:spacing w:after="20" w:before="20"/>
              <w:jc w:val="center"/>
            </w:pPr>
            <w:r/>
            <w:r>
              <w:rPr>
                <w:sz w:val="18"/>
              </w:rPr>
              <w:t>11,385 %</w:t>
            </w:r>
          </w:p>
        </w:tc>
      </w:tr>
      <w:tr>
        <w:tc>
          <w:tcPr>
            <w:tcW w:type="dxa" w:w="1814"/>
          </w:tcPr>
          <w:p>
            <w:pPr>
              <w:spacing w:after="20" w:before="20"/>
              <w:jc w:val="left"/>
            </w:pPr>
            <w:r/>
            <w:r>
              <w:rPr>
                <w:sz w:val="18"/>
              </w:rPr>
              <w:t>Prueba</w:t>
            </w:r>
          </w:p>
        </w:tc>
        <w:tc>
          <w:tcPr>
            <w:tcW w:type="dxa" w:w="1928"/>
          </w:tcPr>
          <w:p>
            <w:pPr>
              <w:spacing w:after="20" w:before="20"/>
              <w:jc w:val="center"/>
            </w:pPr>
            <w:r/>
            <w:r>
              <w:rPr>
                <w:sz w:val="18"/>
              </w:rPr>
              <w:t>19.870</w:t>
            </w:r>
          </w:p>
        </w:tc>
        <w:tc>
          <w:tcPr>
            <w:tcW w:type="dxa" w:w="907"/>
          </w:tcPr>
          <w:p>
            <w:pPr>
              <w:spacing w:after="20" w:before="20"/>
              <w:jc w:val="center"/>
            </w:pPr>
            <w:r/>
            <w:r>
              <w:rPr>
                <w:sz w:val="18"/>
              </w:rPr>
              <w:t>20,0</w:t>
            </w:r>
          </w:p>
        </w:tc>
        <w:tc>
          <w:tcPr>
            <w:tcW w:type="dxa" w:w="1474"/>
          </w:tcPr>
          <w:p>
            <w:pPr>
              <w:spacing w:after="20" w:before="20"/>
              <w:jc w:val="center"/>
            </w:pPr>
            <w:r/>
            <w:r>
              <w:rPr>
                <w:sz w:val="18"/>
              </w:rPr>
              <w:t>14.020</w:t>
            </w:r>
          </w:p>
        </w:tc>
        <w:tc>
          <w:tcPr>
            <w:tcW w:type="dxa" w:w="1361"/>
          </w:tcPr>
          <w:p>
            <w:pPr>
              <w:spacing w:after="20" w:before="20"/>
              <w:jc w:val="center"/>
            </w:pPr>
            <w:r/>
            <w:r>
              <w:rPr>
                <w:sz w:val="18"/>
              </w:rPr>
              <w:t>2.263</w:t>
            </w:r>
          </w:p>
        </w:tc>
        <w:tc>
          <w:tcPr>
            <w:tcW w:type="dxa" w:w="1587"/>
          </w:tcPr>
          <w:p>
            <w:pPr>
              <w:spacing w:after="20" w:before="20"/>
              <w:jc w:val="center"/>
            </w:pPr>
            <w:r/>
            <w:r>
              <w:rPr>
                <w:sz w:val="18"/>
              </w:rPr>
              <w:t>11,389 %</w:t>
            </w:r>
          </w:p>
        </w:tc>
      </w:tr>
      <w:tr>
        <w:tc>
          <w:tcPr>
            <w:tcW w:type="dxa" w:w="1814"/>
            <w:shd w:val="clear" w:fill="F7F8FA"/>
            <w:shd w:val="clear" w:fill="EDF0F5"/>
          </w:tcPr>
          <w:p>
            <w:pPr>
              <w:spacing w:after="20" w:before="20"/>
              <w:jc w:val="left"/>
            </w:pPr>
            <w:r>
              <w:rPr>
                <w:b/>
              </w:rPr>
            </w:r>
            <w:r>
              <w:rPr>
                <w:b/>
                <w:sz w:val="18"/>
              </w:rPr>
              <w:t>Total</w:t>
            </w:r>
          </w:p>
        </w:tc>
        <w:tc>
          <w:tcPr>
            <w:tcW w:type="dxa" w:w="1928"/>
            <w:shd w:val="clear" w:fill="F7F8FA"/>
            <w:shd w:val="clear" w:fill="EDF0F5"/>
          </w:tcPr>
          <w:p>
            <w:pPr>
              <w:spacing w:after="20" w:before="20"/>
              <w:jc w:val="center"/>
            </w:pPr>
            <w:r>
              <w:rPr>
                <w:b/>
              </w:rPr>
            </w:r>
            <w:r>
              <w:rPr>
                <w:b/>
                <w:sz w:val="18"/>
              </w:rPr>
              <w:t>99.343</w:t>
            </w:r>
          </w:p>
        </w:tc>
        <w:tc>
          <w:tcPr>
            <w:tcW w:type="dxa" w:w="907"/>
            <w:shd w:val="clear" w:fill="F7F8FA"/>
            <w:shd w:val="clear" w:fill="EDF0F5"/>
          </w:tcPr>
          <w:p>
            <w:pPr>
              <w:spacing w:after="20" w:before="20"/>
              <w:jc w:val="center"/>
            </w:pPr>
            <w:r>
              <w:rPr>
                <w:b/>
              </w:rPr>
            </w:r>
            <w:r>
              <w:rPr>
                <w:b/>
                <w:sz w:val="18"/>
              </w:rPr>
              <w:t>100,0</w:t>
            </w:r>
          </w:p>
        </w:tc>
        <w:tc>
          <w:tcPr>
            <w:tcW w:type="dxa" w:w="1474"/>
            <w:shd w:val="clear" w:fill="F7F8FA"/>
            <w:shd w:val="clear" w:fill="EDF0F5"/>
          </w:tcPr>
          <w:p>
            <w:pPr>
              <w:spacing w:after="20" w:before="20"/>
              <w:jc w:val="center"/>
            </w:pPr>
            <w:r>
              <w:rPr>
                <w:b/>
              </w:rPr>
            </w:r>
            <w:r>
              <w:rPr>
                <w:b/>
                <w:sz w:val="18"/>
              </w:rPr>
              <w:t>69.990</w:t>
            </w:r>
          </w:p>
        </w:tc>
        <w:tc>
          <w:tcPr>
            <w:tcW w:type="dxa" w:w="1361"/>
            <w:shd w:val="clear" w:fill="F7F8FA"/>
            <w:shd w:val="clear" w:fill="EDF0F5"/>
          </w:tcPr>
          <w:p>
            <w:pPr>
              <w:spacing w:after="20" w:before="20"/>
              <w:jc w:val="center"/>
            </w:pPr>
            <w:r>
              <w:rPr>
                <w:b/>
              </w:rPr>
            </w:r>
            <w:r>
              <w:rPr>
                <w:b/>
                <w:sz w:val="18"/>
              </w:rPr>
              <w:t>11.314</w:t>
            </w:r>
          </w:p>
        </w:tc>
        <w:tc>
          <w:tcPr>
            <w:tcW w:type="dxa" w:w="1587"/>
            <w:shd w:val="clear" w:fill="F7F8FA"/>
            <w:shd w:val="clear" w:fill="EDF0F5"/>
          </w:tcPr>
          <w:p>
            <w:pPr>
              <w:spacing w:after="20" w:before="20"/>
              <w:jc w:val="center"/>
            </w:pPr>
            <w:r>
              <w:rPr>
                <w:b/>
              </w:rPr>
            </w:r>
            <w:r>
              <w:rPr>
                <w:b/>
                <w:sz w:val="18"/>
              </w:rPr>
              <w:t>11,390 %</w:t>
            </w:r>
          </w:p>
        </w:tc>
      </w:tr>
    </w:tbl>
    <w:p>
      <w:pPr>
        <w:spacing w:after="0"/>
      </w:pPr>
    </w:p>
    <w:p>
      <w:r>
        <w:t xml:space="preserve">Dos controles confirman que la partición es correcta: </w:t>
      </w:r>
      <w:r>
        <w:rPr>
          <w:b/>
        </w:rPr>
        <w:t>ningún paciente aparece en más de un conjunto</w:t>
      </w:r>
      <w:r>
        <w:t xml:space="preserve"> —la intersección de identificadores es vacía en los tres pares posibles— y la prevalencia se conserva hasta el tercer decimal, de modo que los tres conjuntos son comparables. La función de cada uno se mantuvo estricta: entrenamiento ajusta parámetros; validación compara modelos, elige hiperparámetros y fija el umbral; prueba se usa una sola vez, al final, con todo el flujo congelado.</w:t>
      </w:r>
    </w:p>
    <w:p>
      <w:pPr>
        <w:keepNext/>
        <w:spacing w:before="220" w:after="100"/>
        <w:jc w:val="left"/>
        <w:pBdr>
          <w:bottom w:val="single" w:sz="6" w:space="3" w:color="C5CEDC"/>
        </w:pBdr>
      </w:pPr>
      <w:r>
        <w:rPr>
          <w:b/>
          <w:color w:val="1F3B63"/>
          <w:sz w:val="26"/>
        </w:rPr>
        <w:t>6.  Modelos entrenados</w:t>
      </w:r>
    </w:p>
    <w:p>
      <w:pPr>
        <w:keepNext/>
        <w:spacing w:before="180" w:after="100"/>
        <w:jc w:val="left"/>
      </w:pPr>
      <w:r>
        <w:rPr>
          <w:b/>
          <w:color w:val="1F3B63"/>
          <w:sz w:val="22"/>
        </w:rPr>
        <w:t>6.1  Clasificador de referencia</w:t>
      </w:r>
    </w:p>
    <w:p>
      <w:r>
        <w:t xml:space="preserve">Un DummyClassifier de clase mayoritaria predice siempre «no reingresa»: alcanza 88,61 % de exactitud y </w:t>
      </w:r>
      <w:r>
        <w:rPr>
          <w:b/>
        </w:rPr>
        <w:t>cero</w:t>
      </w:r>
      <w:r>
        <w:t xml:space="preserve"> sensibilidad. Su utilidad es doble: demuestra por qué la exactitud global es un criterio engañoso en un problema desbalanceado y fija el piso de la average precision en 0,1139, el valor de la prevalencia.</w:t>
      </w:r>
    </w:p>
    <w:p>
      <w:pPr>
        <w:keepNext/>
        <w:spacing w:before="180" w:after="100"/>
        <w:jc w:val="left"/>
      </w:pPr>
      <w:r>
        <w:rPr>
          <w:b/>
          <w:color w:val="1F3B63"/>
          <w:sz w:val="22"/>
        </w:rPr>
        <w:t>6.2  Regresión logística</w:t>
      </w:r>
    </w:p>
    <w:p>
      <w:r>
        <w:t>Es el modelo interpretable que la Fase 1 exigió como comparación. Se entrenaron dos variantes: una estándar y otra con class_weight = «balanced», que pondera cada clase de forma inversamente proporcional a su frecuencia.</w:t>
      </w:r>
    </w:p>
    <w:p>
      <w:pPr>
        <w:keepNext/>
        <w:spacing w:before="80" w:after="160"/>
        <w:jc w:val="center"/>
      </w:pPr>
      <w:r>
        <w:rPr>
          <w:b/>
          <w:color w:val="555A62"/>
          <w:sz w:val="17"/>
        </w:rPr>
        <w:t>Tabla 8.</w:t>
      </w:r>
      <w:r>
        <w:rPr>
          <w:color w:val="555A62"/>
          <w:sz w:val="17"/>
        </w:rPr>
        <w:t xml:space="preserve"> Modelos de referencia evaluados en validación. Umbral 0,50.</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tblHeader w:val="true"/>
        </w:trPr>
        <w:tc>
          <w:tcPr>
            <w:tcW w:type="dxa" w:w="2211"/>
            <w:shd w:val="clear" w:fill="1F3B63"/>
          </w:tcPr>
          <w:p>
            <w:pPr>
              <w:spacing w:after="20" w:before="20"/>
              <w:jc w:val="center"/>
            </w:pPr>
            <w:r/>
            <w:r>
              <w:rPr>
                <w:b/>
                <w:color w:val="FFFFFF"/>
                <w:sz w:val="16"/>
              </w:rPr>
              <w:t>Modelo</w:t>
            </w:r>
          </w:p>
        </w:tc>
        <w:tc>
          <w:tcPr>
            <w:tcW w:type="dxa" w:w="964"/>
            <w:shd w:val="clear" w:fill="1F3B63"/>
          </w:tcPr>
          <w:p>
            <w:pPr>
              <w:spacing w:after="20" w:before="20"/>
              <w:jc w:val="center"/>
            </w:pPr>
            <w:r/>
            <w:r>
              <w:rPr>
                <w:b/>
                <w:color w:val="FFFFFF"/>
                <w:sz w:val="16"/>
              </w:rPr>
              <w:t>Exactitud</w:t>
            </w:r>
          </w:p>
        </w:tc>
        <w:tc>
          <w:tcPr>
            <w:tcW w:type="dxa" w:w="794"/>
            <w:shd w:val="clear" w:fill="1F3B63"/>
          </w:tcPr>
          <w:p>
            <w:pPr>
              <w:spacing w:after="20" w:before="20"/>
              <w:jc w:val="center"/>
            </w:pPr>
            <w:r/>
            <w:r>
              <w:rPr>
                <w:b/>
                <w:color w:val="FFFFFF"/>
                <w:sz w:val="16"/>
              </w:rPr>
              <w:t>AP</w:t>
            </w:r>
          </w:p>
        </w:tc>
        <w:tc>
          <w:tcPr>
            <w:tcW w:type="dxa" w:w="907"/>
            <w:shd w:val="clear" w:fill="1F3B63"/>
          </w:tcPr>
          <w:p>
            <w:pPr>
              <w:spacing w:after="20" w:before="20"/>
              <w:jc w:val="center"/>
            </w:pPr>
            <w:r/>
            <w:r>
              <w:rPr>
                <w:b/>
                <w:color w:val="FFFFFF"/>
                <w:sz w:val="16"/>
              </w:rPr>
              <w:t>ROC-AUC</w:t>
            </w:r>
          </w:p>
        </w:tc>
        <w:tc>
          <w:tcPr>
            <w:tcW w:type="dxa" w:w="907"/>
            <w:shd w:val="clear" w:fill="1F3B63"/>
          </w:tcPr>
          <w:p>
            <w:pPr>
              <w:spacing w:after="20" w:before="20"/>
              <w:jc w:val="center"/>
            </w:pPr>
            <w:r/>
            <w:r>
              <w:rPr>
                <w:b/>
                <w:color w:val="FFFFFF"/>
                <w:sz w:val="16"/>
              </w:rPr>
              <w:t>Precisión</w:t>
            </w:r>
          </w:p>
        </w:tc>
        <w:tc>
          <w:tcPr>
            <w:tcW w:type="dxa" w:w="794"/>
            <w:shd w:val="clear" w:fill="1F3B63"/>
          </w:tcPr>
          <w:p>
            <w:pPr>
              <w:spacing w:after="20" w:before="20"/>
              <w:jc w:val="center"/>
            </w:pPr>
            <w:r/>
            <w:r>
              <w:rPr>
                <w:b/>
                <w:color w:val="FFFFFF"/>
                <w:sz w:val="16"/>
              </w:rPr>
              <w:t>Recall</w:t>
            </w:r>
          </w:p>
        </w:tc>
        <w:tc>
          <w:tcPr>
            <w:tcW w:type="dxa" w:w="794"/>
            <w:shd w:val="clear" w:fill="1F3B63"/>
          </w:tcPr>
          <w:p>
            <w:pPr>
              <w:spacing w:after="20" w:before="20"/>
              <w:jc w:val="center"/>
            </w:pPr>
            <w:r/>
            <w:r>
              <w:rPr>
                <w:b/>
                <w:color w:val="FFFFFF"/>
                <w:sz w:val="16"/>
              </w:rPr>
              <w:t>F1</w:t>
            </w:r>
          </w:p>
        </w:tc>
        <w:tc>
          <w:tcPr>
            <w:tcW w:type="dxa" w:w="567"/>
            <w:shd w:val="clear" w:fill="1F3B63"/>
          </w:tcPr>
          <w:p>
            <w:pPr>
              <w:spacing w:after="20" w:before="20"/>
              <w:jc w:val="center"/>
            </w:pPr>
            <w:r/>
            <w:r>
              <w:rPr>
                <w:b/>
                <w:color w:val="FFFFFF"/>
                <w:sz w:val="16"/>
              </w:rPr>
              <w:t>VP</w:t>
            </w:r>
          </w:p>
        </w:tc>
        <w:tc>
          <w:tcPr>
            <w:tcW w:type="dxa" w:w="737"/>
            <w:shd w:val="clear" w:fill="1F3B63"/>
          </w:tcPr>
          <w:p>
            <w:pPr>
              <w:spacing w:after="20" w:before="20"/>
              <w:jc w:val="center"/>
            </w:pPr>
            <w:r/>
            <w:r>
              <w:rPr>
                <w:b/>
                <w:color w:val="FFFFFF"/>
                <w:sz w:val="16"/>
              </w:rPr>
              <w:t>FN</w:t>
            </w:r>
          </w:p>
        </w:tc>
        <w:tc>
          <w:tcPr>
            <w:tcW w:type="dxa" w:w="737"/>
            <w:shd w:val="clear" w:fill="1F3B63"/>
          </w:tcPr>
          <w:p>
            <w:pPr>
              <w:spacing w:after="20" w:before="20"/>
              <w:jc w:val="center"/>
            </w:pPr>
            <w:r/>
            <w:r>
              <w:rPr>
                <w:b/>
                <w:color w:val="FFFFFF"/>
                <w:sz w:val="16"/>
              </w:rPr>
              <w:t>FP</w:t>
            </w:r>
          </w:p>
        </w:tc>
      </w:tr>
      <w:tr>
        <w:tc>
          <w:tcPr>
            <w:tcW w:type="dxa" w:w="2211"/>
          </w:tcPr>
          <w:p>
            <w:pPr>
              <w:spacing w:after="20" w:before="20"/>
              <w:jc w:val="left"/>
            </w:pPr>
            <w:r/>
            <w:r>
              <w:rPr>
                <w:sz w:val="16"/>
              </w:rPr>
              <w:t>Mayoritario</w:t>
            </w:r>
          </w:p>
        </w:tc>
        <w:tc>
          <w:tcPr>
            <w:tcW w:type="dxa" w:w="964"/>
          </w:tcPr>
          <w:p>
            <w:pPr>
              <w:spacing w:after="20" w:before="20"/>
              <w:jc w:val="center"/>
            </w:pPr>
            <w:r/>
            <w:r>
              <w:rPr>
                <w:sz w:val="16"/>
              </w:rPr>
              <w:t>0,8861</w:t>
            </w:r>
          </w:p>
        </w:tc>
        <w:tc>
          <w:tcPr>
            <w:tcW w:type="dxa" w:w="794"/>
          </w:tcPr>
          <w:p>
            <w:pPr>
              <w:spacing w:after="20" w:before="20"/>
              <w:jc w:val="center"/>
            </w:pPr>
            <w:r/>
            <w:r>
              <w:rPr>
                <w:sz w:val="16"/>
              </w:rPr>
              <w:t>0,1139</w:t>
            </w:r>
          </w:p>
        </w:tc>
        <w:tc>
          <w:tcPr>
            <w:tcW w:type="dxa" w:w="907"/>
          </w:tcPr>
          <w:p>
            <w:pPr>
              <w:spacing w:after="20" w:before="20"/>
              <w:jc w:val="center"/>
            </w:pPr>
            <w:r/>
            <w:r>
              <w:rPr>
                <w:sz w:val="16"/>
              </w:rPr>
              <w:t>0,5000</w:t>
            </w:r>
          </w:p>
        </w:tc>
        <w:tc>
          <w:tcPr>
            <w:tcW w:type="dxa" w:w="907"/>
          </w:tcPr>
          <w:p>
            <w:pPr>
              <w:spacing w:after="20" w:before="20"/>
              <w:jc w:val="center"/>
            </w:pPr>
            <w:r/>
            <w:r>
              <w:rPr>
                <w:sz w:val="16"/>
              </w:rPr>
              <w:t>—</w:t>
            </w:r>
          </w:p>
        </w:tc>
        <w:tc>
          <w:tcPr>
            <w:tcW w:type="dxa" w:w="794"/>
          </w:tcPr>
          <w:p>
            <w:pPr>
              <w:spacing w:after="20" w:before="20"/>
              <w:jc w:val="center"/>
            </w:pPr>
            <w:r/>
            <w:r>
              <w:rPr>
                <w:sz w:val="16"/>
              </w:rPr>
              <w:t>0,0000</w:t>
            </w:r>
          </w:p>
        </w:tc>
        <w:tc>
          <w:tcPr>
            <w:tcW w:type="dxa" w:w="794"/>
          </w:tcPr>
          <w:p>
            <w:pPr>
              <w:spacing w:after="20" w:before="20"/>
              <w:jc w:val="center"/>
            </w:pPr>
            <w:r/>
            <w:r>
              <w:rPr>
                <w:sz w:val="16"/>
              </w:rPr>
              <w:t>—</w:t>
            </w:r>
          </w:p>
        </w:tc>
        <w:tc>
          <w:tcPr>
            <w:tcW w:type="dxa" w:w="567"/>
          </w:tcPr>
          <w:p>
            <w:pPr>
              <w:spacing w:after="20" w:before="20"/>
              <w:jc w:val="center"/>
            </w:pPr>
            <w:r/>
            <w:r>
              <w:rPr>
                <w:sz w:val="16"/>
              </w:rPr>
              <w:t>0</w:t>
            </w:r>
          </w:p>
        </w:tc>
        <w:tc>
          <w:tcPr>
            <w:tcW w:type="dxa" w:w="737"/>
          </w:tcPr>
          <w:p>
            <w:pPr>
              <w:spacing w:after="20" w:before="20"/>
              <w:jc w:val="center"/>
            </w:pPr>
            <w:r/>
            <w:r>
              <w:rPr>
                <w:sz w:val="16"/>
              </w:rPr>
              <w:t>2.262</w:t>
            </w:r>
          </w:p>
        </w:tc>
        <w:tc>
          <w:tcPr>
            <w:tcW w:type="dxa" w:w="737"/>
          </w:tcPr>
          <w:p>
            <w:pPr>
              <w:spacing w:after="20" w:before="20"/>
              <w:jc w:val="center"/>
            </w:pPr>
            <w:r/>
            <w:r>
              <w:rPr>
                <w:sz w:val="16"/>
              </w:rPr>
              <w:t>0</w:t>
            </w:r>
          </w:p>
        </w:tc>
      </w:tr>
      <w:tr>
        <w:tc>
          <w:tcPr>
            <w:tcW w:type="dxa" w:w="2211"/>
            <w:shd w:val="clear" w:fill="F7F8FA"/>
          </w:tcPr>
          <w:p>
            <w:pPr>
              <w:spacing w:after="20" w:before="20"/>
              <w:jc w:val="left"/>
            </w:pPr>
            <w:r/>
            <w:r>
              <w:rPr>
                <w:sz w:val="16"/>
              </w:rPr>
              <w:t>Reg. logística</w:t>
            </w:r>
          </w:p>
        </w:tc>
        <w:tc>
          <w:tcPr>
            <w:tcW w:type="dxa" w:w="964"/>
            <w:shd w:val="clear" w:fill="F7F8FA"/>
          </w:tcPr>
          <w:p>
            <w:pPr>
              <w:spacing w:after="20" w:before="20"/>
              <w:jc w:val="center"/>
            </w:pPr>
            <w:r/>
            <w:r>
              <w:rPr>
                <w:sz w:val="16"/>
              </w:rPr>
              <w:t>0,8864</w:t>
            </w:r>
          </w:p>
        </w:tc>
        <w:tc>
          <w:tcPr>
            <w:tcW w:type="dxa" w:w="794"/>
            <w:shd w:val="clear" w:fill="F7F8FA"/>
          </w:tcPr>
          <w:p>
            <w:pPr>
              <w:spacing w:after="20" w:before="20"/>
              <w:jc w:val="center"/>
            </w:pPr>
            <w:r/>
            <w:r>
              <w:rPr>
                <w:sz w:val="16"/>
              </w:rPr>
              <w:t>0,2136</w:t>
            </w:r>
          </w:p>
        </w:tc>
        <w:tc>
          <w:tcPr>
            <w:tcW w:type="dxa" w:w="907"/>
            <w:shd w:val="clear" w:fill="F7F8FA"/>
          </w:tcPr>
          <w:p>
            <w:pPr>
              <w:spacing w:after="20" w:before="20"/>
              <w:jc w:val="center"/>
            </w:pPr>
            <w:r/>
            <w:r>
              <w:rPr>
                <w:sz w:val="16"/>
              </w:rPr>
              <w:t>0,6540</w:t>
            </w:r>
          </w:p>
        </w:tc>
        <w:tc>
          <w:tcPr>
            <w:tcW w:type="dxa" w:w="907"/>
            <w:shd w:val="clear" w:fill="F7F8FA"/>
          </w:tcPr>
          <w:p>
            <w:pPr>
              <w:spacing w:after="20" w:before="20"/>
              <w:jc w:val="center"/>
            </w:pPr>
            <w:r/>
            <w:r>
              <w:rPr>
                <w:sz w:val="16"/>
              </w:rPr>
              <w:t>0,5313</w:t>
            </w:r>
          </w:p>
        </w:tc>
        <w:tc>
          <w:tcPr>
            <w:tcW w:type="dxa" w:w="794"/>
            <w:shd w:val="clear" w:fill="F7F8FA"/>
          </w:tcPr>
          <w:p>
            <w:pPr>
              <w:spacing w:after="20" w:before="20"/>
              <w:jc w:val="center"/>
            </w:pPr>
            <w:r/>
            <w:r>
              <w:rPr>
                <w:sz w:val="16"/>
              </w:rPr>
              <w:t>0,0150</w:t>
            </w:r>
          </w:p>
        </w:tc>
        <w:tc>
          <w:tcPr>
            <w:tcW w:type="dxa" w:w="794"/>
            <w:shd w:val="clear" w:fill="F7F8FA"/>
          </w:tcPr>
          <w:p>
            <w:pPr>
              <w:spacing w:after="20" w:before="20"/>
              <w:jc w:val="center"/>
            </w:pPr>
            <w:r/>
            <w:r>
              <w:rPr>
                <w:sz w:val="16"/>
              </w:rPr>
              <w:t>0,0292</w:t>
            </w:r>
          </w:p>
        </w:tc>
        <w:tc>
          <w:tcPr>
            <w:tcW w:type="dxa" w:w="567"/>
            <w:shd w:val="clear" w:fill="F7F8FA"/>
          </w:tcPr>
          <w:p>
            <w:pPr>
              <w:spacing w:after="20" w:before="20"/>
              <w:jc w:val="center"/>
            </w:pPr>
            <w:r/>
            <w:r>
              <w:rPr>
                <w:sz w:val="16"/>
              </w:rPr>
              <w:t>34</w:t>
            </w:r>
          </w:p>
        </w:tc>
        <w:tc>
          <w:tcPr>
            <w:tcW w:type="dxa" w:w="737"/>
            <w:shd w:val="clear" w:fill="F7F8FA"/>
          </w:tcPr>
          <w:p>
            <w:pPr>
              <w:spacing w:after="20" w:before="20"/>
              <w:jc w:val="center"/>
            </w:pPr>
            <w:r/>
            <w:r>
              <w:rPr>
                <w:sz w:val="16"/>
              </w:rPr>
              <w:t>2.228</w:t>
            </w:r>
          </w:p>
        </w:tc>
        <w:tc>
          <w:tcPr>
            <w:tcW w:type="dxa" w:w="737"/>
            <w:shd w:val="clear" w:fill="F7F8FA"/>
          </w:tcPr>
          <w:p>
            <w:pPr>
              <w:spacing w:after="20" w:before="20"/>
              <w:jc w:val="center"/>
            </w:pPr>
            <w:r/>
            <w:r>
              <w:rPr>
                <w:sz w:val="16"/>
              </w:rPr>
              <w:t>30</w:t>
            </w:r>
          </w:p>
        </w:tc>
      </w:tr>
      <w:tr>
        <w:tc>
          <w:tcPr>
            <w:tcW w:type="dxa" w:w="2211"/>
          </w:tcPr>
          <w:p>
            <w:pPr>
              <w:spacing w:after="20" w:before="20"/>
              <w:jc w:val="left"/>
            </w:pPr>
            <w:r/>
            <w:r>
              <w:rPr>
                <w:sz w:val="16"/>
              </w:rPr>
              <w:t>Reg. logística balanceada</w:t>
            </w:r>
          </w:p>
        </w:tc>
        <w:tc>
          <w:tcPr>
            <w:tcW w:type="dxa" w:w="964"/>
          </w:tcPr>
          <w:p>
            <w:pPr>
              <w:spacing w:after="20" w:before="20"/>
              <w:jc w:val="center"/>
            </w:pPr>
            <w:r/>
            <w:r>
              <w:rPr>
                <w:sz w:val="16"/>
              </w:rPr>
              <w:t>0,6603</w:t>
            </w:r>
          </w:p>
        </w:tc>
        <w:tc>
          <w:tcPr>
            <w:tcW w:type="dxa" w:w="794"/>
          </w:tcPr>
          <w:p>
            <w:pPr>
              <w:spacing w:after="20" w:before="20"/>
              <w:jc w:val="center"/>
            </w:pPr>
            <w:r/>
            <w:r>
              <w:rPr>
                <w:sz w:val="16"/>
              </w:rPr>
              <w:t>0,2131</w:t>
            </w:r>
          </w:p>
        </w:tc>
        <w:tc>
          <w:tcPr>
            <w:tcW w:type="dxa" w:w="907"/>
          </w:tcPr>
          <w:p>
            <w:pPr>
              <w:spacing w:after="20" w:before="20"/>
              <w:jc w:val="center"/>
            </w:pPr>
            <w:r/>
            <w:r>
              <w:rPr>
                <w:sz w:val="16"/>
              </w:rPr>
              <w:t>0,6552</w:t>
            </w:r>
          </w:p>
        </w:tc>
        <w:tc>
          <w:tcPr>
            <w:tcW w:type="dxa" w:w="907"/>
          </w:tcPr>
          <w:p>
            <w:pPr>
              <w:spacing w:after="20" w:before="20"/>
              <w:jc w:val="center"/>
            </w:pPr>
            <w:r/>
            <w:r>
              <w:rPr>
                <w:sz w:val="16"/>
              </w:rPr>
              <w:t>0,1785</w:t>
            </w:r>
          </w:p>
        </w:tc>
        <w:tc>
          <w:tcPr>
            <w:tcW w:type="dxa" w:w="794"/>
          </w:tcPr>
          <w:p>
            <w:pPr>
              <w:spacing w:after="20" w:before="20"/>
              <w:jc w:val="center"/>
            </w:pPr>
            <w:r/>
            <w:r>
              <w:rPr>
                <w:sz w:val="16"/>
              </w:rPr>
              <w:t>0,5508</w:t>
            </w:r>
          </w:p>
        </w:tc>
        <w:tc>
          <w:tcPr>
            <w:tcW w:type="dxa" w:w="794"/>
          </w:tcPr>
          <w:p>
            <w:pPr>
              <w:spacing w:after="20" w:before="20"/>
              <w:jc w:val="center"/>
            </w:pPr>
            <w:r/>
            <w:r>
              <w:rPr>
                <w:sz w:val="16"/>
              </w:rPr>
              <w:t>0,2697</w:t>
            </w:r>
          </w:p>
        </w:tc>
        <w:tc>
          <w:tcPr>
            <w:tcW w:type="dxa" w:w="567"/>
          </w:tcPr>
          <w:p>
            <w:pPr>
              <w:spacing w:after="20" w:before="20"/>
              <w:jc w:val="center"/>
            </w:pPr>
            <w:r/>
            <w:r>
              <w:rPr>
                <w:sz w:val="16"/>
              </w:rPr>
              <w:t>1.246</w:t>
            </w:r>
          </w:p>
        </w:tc>
        <w:tc>
          <w:tcPr>
            <w:tcW w:type="dxa" w:w="737"/>
          </w:tcPr>
          <w:p>
            <w:pPr>
              <w:spacing w:after="20" w:before="20"/>
              <w:jc w:val="center"/>
            </w:pPr>
            <w:r/>
            <w:r>
              <w:rPr>
                <w:sz w:val="16"/>
              </w:rPr>
              <w:t>1.016</w:t>
            </w:r>
          </w:p>
        </w:tc>
        <w:tc>
          <w:tcPr>
            <w:tcW w:type="dxa" w:w="737"/>
          </w:tcPr>
          <w:p>
            <w:pPr>
              <w:spacing w:after="20" w:before="20"/>
              <w:jc w:val="center"/>
            </w:pPr>
            <w:r/>
            <w:r>
              <w:rPr>
                <w:sz w:val="16"/>
              </w:rPr>
              <w:t>5.733</w:t>
            </w:r>
          </w:p>
        </w:tc>
      </w:tr>
    </w:tbl>
    <w:p>
      <w:pPr>
        <w:spacing w:after="0"/>
      </w:pPr>
    </w:p>
    <w:p>
      <w:pPr>
        <w:spacing w:before="120" w:after="160"/>
        <w:ind w:left="227"/>
        <w:jc w:val="both"/>
        <w:pBdr>
          <w:left w:val="single" w:sz="18" w:space="8" w:color="1F3B63"/>
        </w:pBdr>
      </w:pPr>
      <w:r>
        <w:rPr>
          <w:sz w:val="20"/>
        </w:rPr>
        <w:t xml:space="preserve">Las tres primeras filas de la tabla 8 muestran el hallazgo más instructivo de esta fase. La regresión logística estándar tiene </w:t>
      </w:r>
      <w:r>
        <w:rPr>
          <w:b/>
          <w:sz w:val="20"/>
        </w:rPr>
        <w:t>88,64 % de exactitud y detecta 34 de 2.262 reingresos</w:t>
      </w:r>
      <w:r>
        <w:rPr>
          <w:sz w:val="20"/>
        </w:rPr>
        <w:t xml:space="preserve">: su alta exactitud proviene de acertar en los negativos. La versión balanceada baja la exactitud a 66 % y detecta 1.246. Sin embargo, </w:t>
      </w:r>
      <w:r>
        <w:rPr>
          <w:b/>
          <w:sz w:val="20"/>
        </w:rPr>
        <w:t>la AP y el ROC-AUC de ambas son prácticamente idénticos</w:t>
      </w:r>
      <w:r>
        <w:rPr>
          <w:sz w:val="20"/>
        </w:rPr>
        <w:t xml:space="preserve"> (0,2136 frente a 0,2131; 0,6540 frente a 0,6552). La razón es que ambas ordenan los casos casi igual: lo que cambia no es la capacidad de discriminar, sino el punto de corte efectivo. Esto justifica la decisión de la Fase 1 de tratar el umbral como una elección explícita y separada del entrenamiento.</w:t>
      </w:r>
    </w:p>
    <w:p>
      <w:pPr>
        <w:keepNext/>
        <w:spacing w:before="180" w:after="100"/>
        <w:jc w:val="left"/>
      </w:pPr>
      <w:r>
        <w:rPr>
          <w:b/>
          <w:color w:val="1F3B63"/>
          <w:sz w:val="22"/>
        </w:rPr>
        <w:t>6.3  Gradient Boosting</w:t>
      </w:r>
    </w:p>
    <w:p>
      <w:r>
        <w:t>Gradient Boosting construye árboles de decisión en secuencia: cada árbol nuevo se entrena sobre los errores que dejó la suma de los anteriores. Es el algoritmo de referencia para datos tabulares con mezcla de variables numéricas y categóricas, interacciones y relaciones no lineales.</w:t>
      </w:r>
    </w:p>
    <w:p>
      <w:r>
        <w:t xml:space="preserve">scikit-learn ofrece dos implementaciones. Se midieron ambas sobre entrenamiento con sus valores por defecto antes de decidir: </w:t>
      </w:r>
      <w:r>
        <w:rPr>
          <w:b/>
        </w:rPr>
        <w:t>HistGradientBoostingClassifier</w:t>
      </w:r>
      <w:r>
        <w:t xml:space="preserve"> tardó 1,4 segundos y obtuvo una AP de 0,2192 en validación, mientras que </w:t>
      </w:r>
      <w:r>
        <w:rPr>
          <w:b/>
        </w:rPr>
        <w:t>GradientBoostingClassifier</w:t>
      </w:r>
      <w:r>
        <w:t xml:space="preserve"> tardó 13,1 segundos y obtuvo 0,2093. La primera es nueve veces más rápida y además mejor, porque agrupa los valores numéricos en histogramas en lugar de evaluar todos los cortes posibles. La elección se tomó por medición, no por preferencia.</w:t>
      </w:r>
    </w:p>
    <w:p>
      <w:pPr>
        <w:keepNext/>
        <w:spacing w:before="220" w:after="100"/>
        <w:jc w:val="left"/>
        <w:pBdr>
          <w:bottom w:val="single" w:sz="6" w:space="3" w:color="C5CEDC"/>
        </w:pBdr>
      </w:pPr>
      <w:r>
        <w:rPr>
          <w:b/>
          <w:color w:val="1F3B63"/>
          <w:sz w:val="26"/>
        </w:rPr>
        <w:t>7.  Ajuste de hiperparámetros</w:t>
      </w:r>
    </w:p>
    <w:p>
      <w:r>
        <w:t xml:space="preserve">Los hiperparámetros son las decisiones de configuración que el algoritmo no aprende de los datos. Se exploraron treinta combinaciones con </w:t>
      </w:r>
      <w:r>
        <w:rPr>
          <w:b/>
        </w:rPr>
        <w:t>RandomizedSearchCV</w:t>
      </w:r>
      <w:r>
        <w:t xml:space="preserve">, evaluando cada una por validación cruzada de cinco pliegues </w:t>
      </w:r>
      <w:r>
        <w:rPr>
          <w:b/>
        </w:rPr>
        <w:t>agrupados por paciente dentro del conjunto de entrenamiento</w:t>
      </w:r>
      <w:r>
        <w:t>. El conjunto de validación no participó en la búsqueda: se reservó para comparar el resultado final.</w:t>
      </w:r>
    </w:p>
    <w:p>
      <w:pPr>
        <w:keepNext/>
        <w:spacing w:before="80" w:after="160"/>
        <w:jc w:val="center"/>
      </w:pPr>
      <w:r>
        <w:rPr>
          <w:b/>
          <w:color w:val="555A62"/>
          <w:sz w:val="17"/>
        </w:rPr>
        <w:t>Tabla 9.</w:t>
      </w:r>
      <w:r>
        <w:rPr>
          <w:color w:val="555A62"/>
          <w:sz w:val="17"/>
        </w:rPr>
        <w:t xml:space="preserve"> Espacio de búsqueda. Métrica optimizada: average precision. Treinta combinaciones, cinco pliegues agrupados, semilla 42.</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041"/>
            <w:shd w:val="clear" w:fill="1F3B63"/>
          </w:tcPr>
          <w:p>
            <w:pPr>
              <w:spacing w:after="20" w:before="20"/>
              <w:jc w:val="center"/>
            </w:pPr>
            <w:r/>
            <w:r>
              <w:rPr>
                <w:b/>
                <w:color w:val="FFFFFF"/>
                <w:sz w:val="17"/>
              </w:rPr>
              <w:t>Hiperparámetro</w:t>
            </w:r>
          </w:p>
        </w:tc>
        <w:tc>
          <w:tcPr>
            <w:tcW w:type="dxa" w:w="3061"/>
            <w:shd w:val="clear" w:fill="1F3B63"/>
          </w:tcPr>
          <w:p>
            <w:pPr>
              <w:spacing w:after="20" w:before="20"/>
              <w:jc w:val="center"/>
            </w:pPr>
            <w:r/>
            <w:r>
              <w:rPr>
                <w:b/>
                <w:color w:val="FFFFFF"/>
                <w:sz w:val="17"/>
              </w:rPr>
              <w:t>Qué controla</w:t>
            </w:r>
          </w:p>
        </w:tc>
        <w:tc>
          <w:tcPr>
            <w:tcW w:type="dxa" w:w="3969"/>
            <w:shd w:val="clear" w:fill="1F3B63"/>
          </w:tcPr>
          <w:p>
            <w:pPr>
              <w:spacing w:after="20" w:before="20"/>
              <w:jc w:val="center"/>
            </w:pPr>
            <w:r/>
            <w:r>
              <w:rPr>
                <w:b/>
                <w:color w:val="FFFFFF"/>
                <w:sz w:val="17"/>
              </w:rPr>
              <w:t>Valores explorados</w:t>
            </w:r>
          </w:p>
        </w:tc>
      </w:tr>
      <w:tr>
        <w:tc>
          <w:tcPr>
            <w:tcW w:type="dxa" w:w="2041"/>
          </w:tcPr>
          <w:p>
            <w:pPr>
              <w:spacing w:after="20" w:before="20"/>
              <w:jc w:val="left"/>
            </w:pPr>
            <w:r/>
            <w:r>
              <w:rPr>
                <w:sz w:val="17"/>
              </w:rPr>
              <w:t>learning_rate</w:t>
            </w:r>
          </w:p>
        </w:tc>
        <w:tc>
          <w:tcPr>
            <w:tcW w:type="dxa" w:w="3061"/>
          </w:tcPr>
          <w:p>
            <w:pPr>
              <w:spacing w:after="20" w:before="20"/>
              <w:jc w:val="left"/>
            </w:pPr>
            <w:r/>
            <w:r>
              <w:rPr>
                <w:sz w:val="17"/>
              </w:rPr>
              <w:t>cuánto corrige cada árbol nuevo</w:t>
            </w:r>
          </w:p>
        </w:tc>
        <w:tc>
          <w:tcPr>
            <w:tcW w:type="dxa" w:w="3969"/>
          </w:tcPr>
          <w:p>
            <w:pPr>
              <w:spacing w:after="20" w:before="20"/>
              <w:jc w:val="left"/>
            </w:pPr>
            <w:r/>
            <w:r>
              <w:rPr>
                <w:sz w:val="17"/>
              </w:rPr>
              <w:t>0,02 · 0,03 · 0,05 · 0,08 · 0,12 · 0,20</w:t>
            </w:r>
          </w:p>
        </w:tc>
      </w:tr>
      <w:tr>
        <w:tc>
          <w:tcPr>
            <w:tcW w:type="dxa" w:w="2041"/>
            <w:shd w:val="clear" w:fill="F7F8FA"/>
          </w:tcPr>
          <w:p>
            <w:pPr>
              <w:spacing w:after="20" w:before="20"/>
              <w:jc w:val="left"/>
            </w:pPr>
            <w:r/>
            <w:r>
              <w:rPr>
                <w:sz w:val="17"/>
              </w:rPr>
              <w:t>max_leaf_nodes</w:t>
            </w:r>
          </w:p>
        </w:tc>
        <w:tc>
          <w:tcPr>
            <w:tcW w:type="dxa" w:w="3061"/>
            <w:shd w:val="clear" w:fill="F7F8FA"/>
          </w:tcPr>
          <w:p>
            <w:pPr>
              <w:spacing w:after="20" w:before="20"/>
              <w:jc w:val="left"/>
            </w:pPr>
            <w:r/>
            <w:r>
              <w:rPr>
                <w:sz w:val="17"/>
              </w:rPr>
              <w:t>complejidad de cada árbol</w:t>
            </w:r>
          </w:p>
        </w:tc>
        <w:tc>
          <w:tcPr>
            <w:tcW w:type="dxa" w:w="3969"/>
            <w:shd w:val="clear" w:fill="F7F8FA"/>
          </w:tcPr>
          <w:p>
            <w:pPr>
              <w:spacing w:after="20" w:before="20"/>
              <w:jc w:val="left"/>
            </w:pPr>
            <w:r/>
            <w:r>
              <w:rPr>
                <w:sz w:val="17"/>
              </w:rPr>
              <w:t>7 · 15 · 31 · 63</w:t>
            </w:r>
          </w:p>
        </w:tc>
      </w:tr>
      <w:tr>
        <w:tc>
          <w:tcPr>
            <w:tcW w:type="dxa" w:w="2041"/>
          </w:tcPr>
          <w:p>
            <w:pPr>
              <w:spacing w:after="20" w:before="20"/>
              <w:jc w:val="left"/>
            </w:pPr>
            <w:r/>
            <w:r>
              <w:rPr>
                <w:sz w:val="17"/>
              </w:rPr>
              <w:t>min_samples_leaf</w:t>
            </w:r>
          </w:p>
        </w:tc>
        <w:tc>
          <w:tcPr>
            <w:tcW w:type="dxa" w:w="3061"/>
          </w:tcPr>
          <w:p>
            <w:pPr>
              <w:spacing w:after="20" w:before="20"/>
              <w:jc w:val="left"/>
            </w:pPr>
            <w:r/>
            <w:r>
              <w:rPr>
                <w:sz w:val="17"/>
              </w:rPr>
              <w:t>registros mínimos por hoja</w:t>
            </w:r>
          </w:p>
        </w:tc>
        <w:tc>
          <w:tcPr>
            <w:tcW w:type="dxa" w:w="3969"/>
          </w:tcPr>
          <w:p>
            <w:pPr>
              <w:spacing w:after="20" w:before="20"/>
              <w:jc w:val="left"/>
            </w:pPr>
            <w:r/>
            <w:r>
              <w:rPr>
                <w:sz w:val="17"/>
              </w:rPr>
              <w:t>20 · 50 · 100 · 200</w:t>
            </w:r>
          </w:p>
        </w:tc>
      </w:tr>
      <w:tr>
        <w:tc>
          <w:tcPr>
            <w:tcW w:type="dxa" w:w="2041"/>
            <w:shd w:val="clear" w:fill="F7F8FA"/>
          </w:tcPr>
          <w:p>
            <w:pPr>
              <w:spacing w:after="20" w:before="20"/>
              <w:jc w:val="left"/>
            </w:pPr>
            <w:r/>
            <w:r>
              <w:rPr>
                <w:sz w:val="17"/>
              </w:rPr>
              <w:t>l2_regularization</w:t>
            </w:r>
          </w:p>
        </w:tc>
        <w:tc>
          <w:tcPr>
            <w:tcW w:type="dxa" w:w="3061"/>
            <w:shd w:val="clear" w:fill="F7F8FA"/>
          </w:tcPr>
          <w:p>
            <w:pPr>
              <w:spacing w:after="20" w:before="20"/>
              <w:jc w:val="left"/>
            </w:pPr>
            <w:r/>
            <w:r>
              <w:rPr>
                <w:sz w:val="17"/>
              </w:rPr>
              <w:t>penalización por complejidad</w:t>
            </w:r>
          </w:p>
        </w:tc>
        <w:tc>
          <w:tcPr>
            <w:tcW w:type="dxa" w:w="3969"/>
            <w:shd w:val="clear" w:fill="F7F8FA"/>
          </w:tcPr>
          <w:p>
            <w:pPr>
              <w:spacing w:after="20" w:before="20"/>
              <w:jc w:val="left"/>
            </w:pPr>
            <w:r/>
            <w:r>
              <w:rPr>
                <w:sz w:val="17"/>
              </w:rPr>
              <w:t>0,0 · 0,5 · 2,0 · 5,0</w:t>
            </w:r>
          </w:p>
        </w:tc>
      </w:tr>
      <w:tr>
        <w:tc>
          <w:tcPr>
            <w:tcW w:type="dxa" w:w="2041"/>
          </w:tcPr>
          <w:p>
            <w:pPr>
              <w:spacing w:after="20" w:before="20"/>
              <w:jc w:val="left"/>
            </w:pPr>
            <w:r/>
            <w:r>
              <w:rPr>
                <w:sz w:val="17"/>
              </w:rPr>
              <w:t>max_features</w:t>
            </w:r>
          </w:p>
        </w:tc>
        <w:tc>
          <w:tcPr>
            <w:tcW w:type="dxa" w:w="3061"/>
          </w:tcPr>
          <w:p>
            <w:pPr>
              <w:spacing w:after="20" w:before="20"/>
              <w:jc w:val="left"/>
            </w:pPr>
            <w:r/>
            <w:r>
              <w:rPr>
                <w:sz w:val="17"/>
              </w:rPr>
              <w:t>fracción de variables por árbol</w:t>
            </w:r>
          </w:p>
        </w:tc>
        <w:tc>
          <w:tcPr>
            <w:tcW w:type="dxa" w:w="3969"/>
          </w:tcPr>
          <w:p>
            <w:pPr>
              <w:spacing w:after="20" w:before="20"/>
              <w:jc w:val="left"/>
            </w:pPr>
            <w:r/>
            <w:r>
              <w:rPr>
                <w:sz w:val="17"/>
              </w:rPr>
              <w:t>0,6 · 0,8 · 1,0</w:t>
            </w:r>
          </w:p>
        </w:tc>
      </w:tr>
      <w:tr>
        <w:tc>
          <w:tcPr>
            <w:tcW w:type="dxa" w:w="2041"/>
            <w:shd w:val="clear" w:fill="F7F8FA"/>
          </w:tcPr>
          <w:p>
            <w:pPr>
              <w:spacing w:after="20" w:before="20"/>
              <w:jc w:val="left"/>
            </w:pPr>
            <w:r/>
            <w:r>
              <w:rPr>
                <w:sz w:val="17"/>
              </w:rPr>
              <w:t>class_weight</w:t>
            </w:r>
          </w:p>
        </w:tc>
        <w:tc>
          <w:tcPr>
            <w:tcW w:type="dxa" w:w="3061"/>
            <w:shd w:val="clear" w:fill="F7F8FA"/>
          </w:tcPr>
          <w:p>
            <w:pPr>
              <w:spacing w:after="20" w:before="20"/>
              <w:jc w:val="left"/>
            </w:pPr>
            <w:r/>
            <w:r>
              <w:rPr>
                <w:sz w:val="17"/>
              </w:rPr>
              <w:t>compensación del desbalance</w:t>
            </w:r>
          </w:p>
        </w:tc>
        <w:tc>
          <w:tcPr>
            <w:tcW w:type="dxa" w:w="3969"/>
            <w:shd w:val="clear" w:fill="F7F8FA"/>
          </w:tcPr>
          <w:p>
            <w:pPr>
              <w:spacing w:after="20" w:before="20"/>
              <w:jc w:val="left"/>
            </w:pPr>
            <w:r/>
            <w:r>
              <w:rPr>
                <w:sz w:val="17"/>
              </w:rPr>
              <w:t>None · balanced</w:t>
            </w:r>
          </w:p>
        </w:tc>
      </w:tr>
    </w:tbl>
    <w:p>
      <w:pPr>
        <w:spacing w:after="0"/>
      </w:pPr>
    </w:p>
    <w:p>
      <w:r>
        <w:t>El número de árboles no se incluyó en la búsqueda porque se determina solo: con max_iter = 400 y parada temprana (n_iter_no_change = 20), el algoritmo detiene la construcción cuando veinte árboles consecutivos no mejoran el desempeño en su propia fracción interna de validación.</w:t>
      </w:r>
    </w:p>
    <w:p>
      <w:pPr>
        <w:keepNext/>
        <w:spacing w:before="80" w:after="160"/>
        <w:jc w:val="center"/>
      </w:pPr>
      <w:r>
        <w:rPr>
          <w:b/>
          <w:color w:val="555A62"/>
          <w:sz w:val="17"/>
        </w:rPr>
        <w:t>Tabla 10.</w:t>
      </w:r>
      <w:r>
        <w:rPr>
          <w:color w:val="555A62"/>
          <w:sz w:val="17"/>
        </w:rPr>
        <w:t xml:space="preserve"> Cinco mejores combinaciones de las treinta evaluadas. El sobreajuste es la diferencia entre la AP de entrenamiento y la de validación cruzada.</w:t>
      </w:r>
    </w:p>
    <w:tbl>
      <w:tblPr>
        <w:tblStyle w:val="TableGrid"/>
        <w:tblW w:type="auto" w:w="0"/>
        <w:jc w:val="center"/>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rPr>
          <w:tblHeader w:val="true"/>
        </w:trPr>
        <w:tc>
          <w:tcPr>
            <w:tcW w:type="dxa" w:w="680"/>
            <w:shd w:val="clear" w:fill="1F3B63"/>
          </w:tcPr>
          <w:p>
            <w:pPr>
              <w:spacing w:after="20" w:before="20"/>
              <w:jc w:val="center"/>
            </w:pPr>
            <w:r/>
            <w:r>
              <w:rPr>
                <w:b/>
                <w:color w:val="FFFFFF"/>
                <w:sz w:val="15"/>
              </w:rPr>
              <w:t>Puesto</w:t>
            </w:r>
          </w:p>
        </w:tc>
        <w:tc>
          <w:tcPr>
            <w:tcW w:type="dxa" w:w="794"/>
            <w:shd w:val="clear" w:fill="1F3B63"/>
          </w:tcPr>
          <w:p>
            <w:pPr>
              <w:spacing w:after="20" w:before="20"/>
              <w:jc w:val="center"/>
            </w:pPr>
            <w:r/>
            <w:r>
              <w:rPr>
                <w:b/>
                <w:color w:val="FFFFFF"/>
                <w:sz w:val="15"/>
              </w:rPr>
              <w:t>AP (CV)</w:t>
            </w:r>
          </w:p>
        </w:tc>
        <w:tc>
          <w:tcPr>
            <w:tcW w:type="dxa" w:w="737"/>
            <w:shd w:val="clear" w:fill="1F3B63"/>
          </w:tcPr>
          <w:p>
            <w:pPr>
              <w:spacing w:after="20" w:before="20"/>
              <w:jc w:val="center"/>
            </w:pPr>
            <w:r/>
            <w:r>
              <w:rPr>
                <w:b/>
                <w:color w:val="FFFFFF"/>
                <w:sz w:val="15"/>
              </w:rPr>
              <w:t>Desv.</w:t>
            </w:r>
          </w:p>
        </w:tc>
        <w:tc>
          <w:tcPr>
            <w:tcW w:type="dxa" w:w="907"/>
            <w:shd w:val="clear" w:fill="1F3B63"/>
          </w:tcPr>
          <w:p>
            <w:pPr>
              <w:spacing w:after="20" w:before="20"/>
              <w:jc w:val="center"/>
            </w:pPr>
            <w:r/>
            <w:r>
              <w:rPr>
                <w:b/>
                <w:color w:val="FFFFFF"/>
                <w:sz w:val="15"/>
              </w:rPr>
              <w:t>AP (entren.)</w:t>
            </w:r>
          </w:p>
        </w:tc>
        <w:tc>
          <w:tcPr>
            <w:tcW w:type="dxa" w:w="964"/>
            <w:shd w:val="clear" w:fill="1F3B63"/>
          </w:tcPr>
          <w:p>
            <w:pPr>
              <w:spacing w:after="20" w:before="20"/>
              <w:jc w:val="center"/>
            </w:pPr>
            <w:r/>
            <w:r>
              <w:rPr>
                <w:b/>
                <w:color w:val="FFFFFF"/>
                <w:sz w:val="15"/>
              </w:rPr>
              <w:t>Sobreajuste</w:t>
            </w:r>
          </w:p>
        </w:tc>
        <w:tc>
          <w:tcPr>
            <w:tcW w:type="dxa" w:w="964"/>
            <w:shd w:val="clear" w:fill="1F3B63"/>
          </w:tcPr>
          <w:p>
            <w:pPr>
              <w:spacing w:after="20" w:before="20"/>
              <w:jc w:val="center"/>
            </w:pPr>
            <w:r/>
            <w:r>
              <w:rPr>
                <w:b/>
                <w:color w:val="FFFFFF"/>
                <w:sz w:val="15"/>
              </w:rPr>
              <w:t>learning_rate</w:t>
            </w:r>
          </w:p>
        </w:tc>
        <w:tc>
          <w:tcPr>
            <w:tcW w:type="dxa" w:w="907"/>
            <w:shd w:val="clear" w:fill="1F3B63"/>
          </w:tcPr>
          <w:p>
            <w:pPr>
              <w:spacing w:after="20" w:before="20"/>
              <w:jc w:val="center"/>
            </w:pPr>
            <w:r/>
            <w:r>
              <w:rPr>
                <w:b/>
                <w:color w:val="FFFFFF"/>
                <w:sz w:val="15"/>
              </w:rPr>
              <w:t>max_leaf_nodes</w:t>
            </w:r>
          </w:p>
        </w:tc>
        <w:tc>
          <w:tcPr>
            <w:tcW w:type="dxa" w:w="1020"/>
            <w:shd w:val="clear" w:fill="1F3B63"/>
          </w:tcPr>
          <w:p>
            <w:pPr>
              <w:spacing w:after="20" w:before="20"/>
              <w:jc w:val="center"/>
            </w:pPr>
            <w:r/>
            <w:r>
              <w:rPr>
                <w:b/>
                <w:color w:val="FFFFFF"/>
                <w:sz w:val="15"/>
              </w:rPr>
              <w:t>min_samples_leaf</w:t>
            </w:r>
          </w:p>
        </w:tc>
        <w:tc>
          <w:tcPr>
            <w:tcW w:type="dxa" w:w="510"/>
            <w:shd w:val="clear" w:fill="1F3B63"/>
          </w:tcPr>
          <w:p>
            <w:pPr>
              <w:spacing w:after="20" w:before="20"/>
              <w:jc w:val="center"/>
            </w:pPr>
            <w:r/>
            <w:r>
              <w:rPr>
                <w:b/>
                <w:color w:val="FFFFFF"/>
                <w:sz w:val="15"/>
              </w:rPr>
              <w:t>l2</w:t>
            </w:r>
          </w:p>
        </w:tc>
        <w:tc>
          <w:tcPr>
            <w:tcW w:type="dxa" w:w="907"/>
            <w:shd w:val="clear" w:fill="1F3B63"/>
          </w:tcPr>
          <w:p>
            <w:pPr>
              <w:spacing w:after="20" w:before="20"/>
              <w:jc w:val="center"/>
            </w:pPr>
            <w:r/>
            <w:r>
              <w:rPr>
                <w:b/>
                <w:color w:val="FFFFFF"/>
                <w:sz w:val="15"/>
              </w:rPr>
              <w:t>max_features</w:t>
            </w:r>
          </w:p>
        </w:tc>
        <w:tc>
          <w:tcPr>
            <w:tcW w:type="dxa" w:w="907"/>
            <w:shd w:val="clear" w:fill="1F3B63"/>
          </w:tcPr>
          <w:p>
            <w:pPr>
              <w:spacing w:after="20" w:before="20"/>
              <w:jc w:val="center"/>
            </w:pPr>
            <w:r/>
            <w:r>
              <w:rPr>
                <w:b/>
                <w:color w:val="FFFFFF"/>
                <w:sz w:val="15"/>
              </w:rPr>
              <w:t>class_weight</w:t>
            </w:r>
          </w:p>
        </w:tc>
      </w:tr>
      <w:tr>
        <w:tc>
          <w:tcPr>
            <w:tcW w:type="dxa" w:w="680"/>
            <w:shd w:val="clear" w:fill="EDF0F5"/>
          </w:tcPr>
          <w:p>
            <w:pPr>
              <w:spacing w:after="20" w:before="20"/>
              <w:jc w:val="center"/>
            </w:pPr>
            <w:r>
              <w:rPr>
                <w:b/>
              </w:rPr>
            </w:r>
            <w:r>
              <w:rPr>
                <w:b/>
                <w:sz w:val="15"/>
              </w:rPr>
              <w:t>1</w:t>
            </w:r>
          </w:p>
        </w:tc>
        <w:tc>
          <w:tcPr>
            <w:tcW w:type="dxa" w:w="794"/>
            <w:shd w:val="clear" w:fill="EDF0F5"/>
          </w:tcPr>
          <w:p>
            <w:pPr>
              <w:spacing w:after="20" w:before="20"/>
              <w:jc w:val="center"/>
            </w:pPr>
            <w:r>
              <w:rPr>
                <w:b/>
              </w:rPr>
            </w:r>
            <w:r>
              <w:rPr>
                <w:b/>
                <w:sz w:val="15"/>
              </w:rPr>
              <w:t>0,2328</w:t>
            </w:r>
          </w:p>
        </w:tc>
        <w:tc>
          <w:tcPr>
            <w:tcW w:type="dxa" w:w="737"/>
            <w:shd w:val="clear" w:fill="EDF0F5"/>
          </w:tcPr>
          <w:p>
            <w:pPr>
              <w:spacing w:after="20" w:before="20"/>
              <w:jc w:val="center"/>
            </w:pPr>
            <w:r>
              <w:rPr>
                <w:b/>
              </w:rPr>
            </w:r>
            <w:r>
              <w:rPr>
                <w:b/>
                <w:sz w:val="15"/>
              </w:rPr>
              <w:t>0,0085</w:t>
            </w:r>
          </w:p>
        </w:tc>
        <w:tc>
          <w:tcPr>
            <w:tcW w:type="dxa" w:w="907"/>
            <w:shd w:val="clear" w:fill="EDF0F5"/>
          </w:tcPr>
          <w:p>
            <w:pPr>
              <w:spacing w:after="20" w:before="20"/>
              <w:jc w:val="center"/>
            </w:pPr>
            <w:r>
              <w:rPr>
                <w:b/>
              </w:rPr>
            </w:r>
            <w:r>
              <w:rPr>
                <w:b/>
                <w:sz w:val="15"/>
              </w:rPr>
              <w:t>0,2846</w:t>
            </w:r>
          </w:p>
        </w:tc>
        <w:tc>
          <w:tcPr>
            <w:tcW w:type="dxa" w:w="964"/>
            <w:shd w:val="clear" w:fill="EDF0F5"/>
          </w:tcPr>
          <w:p>
            <w:pPr>
              <w:spacing w:after="20" w:before="20"/>
              <w:jc w:val="center"/>
            </w:pPr>
            <w:r>
              <w:rPr>
                <w:b/>
              </w:rPr>
            </w:r>
            <w:r>
              <w:rPr>
                <w:b/>
                <w:sz w:val="15"/>
              </w:rPr>
              <w:t>0,0518</w:t>
            </w:r>
          </w:p>
        </w:tc>
        <w:tc>
          <w:tcPr>
            <w:tcW w:type="dxa" w:w="964"/>
            <w:shd w:val="clear" w:fill="EDF0F5"/>
          </w:tcPr>
          <w:p>
            <w:pPr>
              <w:spacing w:after="20" w:before="20"/>
              <w:jc w:val="center"/>
            </w:pPr>
            <w:r>
              <w:rPr>
                <w:b/>
              </w:rPr>
            </w:r>
            <w:r>
              <w:rPr>
                <w:b/>
                <w:sz w:val="15"/>
              </w:rPr>
              <w:t>0,05</w:t>
            </w:r>
          </w:p>
        </w:tc>
        <w:tc>
          <w:tcPr>
            <w:tcW w:type="dxa" w:w="907"/>
            <w:shd w:val="clear" w:fill="EDF0F5"/>
          </w:tcPr>
          <w:p>
            <w:pPr>
              <w:spacing w:after="20" w:before="20"/>
              <w:jc w:val="center"/>
            </w:pPr>
            <w:r>
              <w:rPr>
                <w:b/>
              </w:rPr>
            </w:r>
            <w:r>
              <w:rPr>
                <w:b/>
                <w:sz w:val="15"/>
              </w:rPr>
              <w:t>15</w:t>
            </w:r>
          </w:p>
        </w:tc>
        <w:tc>
          <w:tcPr>
            <w:tcW w:type="dxa" w:w="1020"/>
            <w:shd w:val="clear" w:fill="EDF0F5"/>
          </w:tcPr>
          <w:p>
            <w:pPr>
              <w:spacing w:after="20" w:before="20"/>
              <w:jc w:val="center"/>
            </w:pPr>
            <w:r>
              <w:rPr>
                <w:b/>
              </w:rPr>
            </w:r>
            <w:r>
              <w:rPr>
                <w:b/>
                <w:sz w:val="15"/>
              </w:rPr>
              <w:t>100</w:t>
            </w:r>
          </w:p>
        </w:tc>
        <w:tc>
          <w:tcPr>
            <w:tcW w:type="dxa" w:w="510"/>
            <w:shd w:val="clear" w:fill="EDF0F5"/>
          </w:tcPr>
          <w:p>
            <w:pPr>
              <w:spacing w:after="20" w:before="20"/>
              <w:jc w:val="center"/>
            </w:pPr>
            <w:r>
              <w:rPr>
                <w:b/>
              </w:rPr>
            </w:r>
            <w:r>
              <w:rPr>
                <w:b/>
                <w:sz w:val="15"/>
              </w:rPr>
              <w:t>0,5</w:t>
            </w:r>
          </w:p>
        </w:tc>
        <w:tc>
          <w:tcPr>
            <w:tcW w:type="dxa" w:w="907"/>
            <w:shd w:val="clear" w:fill="EDF0F5"/>
          </w:tcPr>
          <w:p>
            <w:pPr>
              <w:spacing w:after="20" w:before="20"/>
              <w:jc w:val="center"/>
            </w:pPr>
            <w:r>
              <w:rPr>
                <w:b/>
              </w:rPr>
            </w:r>
            <w:r>
              <w:rPr>
                <w:b/>
                <w:sz w:val="15"/>
              </w:rPr>
              <w:t>0,8</w:t>
            </w:r>
          </w:p>
        </w:tc>
        <w:tc>
          <w:tcPr>
            <w:tcW w:type="dxa" w:w="907"/>
            <w:shd w:val="clear" w:fill="EDF0F5"/>
          </w:tcPr>
          <w:p>
            <w:pPr>
              <w:spacing w:after="20" w:before="20"/>
              <w:jc w:val="center"/>
            </w:pPr>
            <w:r>
              <w:rPr>
                <w:b/>
              </w:rPr>
            </w:r>
            <w:r>
              <w:rPr>
                <w:b/>
                <w:sz w:val="15"/>
              </w:rPr>
              <w:t>None</w:t>
            </w:r>
          </w:p>
        </w:tc>
      </w:tr>
      <w:tr>
        <w:tc>
          <w:tcPr>
            <w:tcW w:type="dxa" w:w="680"/>
            <w:shd w:val="clear" w:fill="F7F8FA"/>
          </w:tcPr>
          <w:p>
            <w:pPr>
              <w:spacing w:after="20" w:before="20"/>
              <w:jc w:val="center"/>
            </w:pPr>
            <w:r/>
            <w:r>
              <w:rPr>
                <w:sz w:val="15"/>
              </w:rPr>
              <w:t>2</w:t>
            </w:r>
          </w:p>
        </w:tc>
        <w:tc>
          <w:tcPr>
            <w:tcW w:type="dxa" w:w="794"/>
            <w:shd w:val="clear" w:fill="F7F8FA"/>
          </w:tcPr>
          <w:p>
            <w:pPr>
              <w:spacing w:after="20" w:before="20"/>
              <w:jc w:val="center"/>
            </w:pPr>
            <w:r/>
            <w:r>
              <w:rPr>
                <w:sz w:val="15"/>
              </w:rPr>
              <w:t>0,2323</w:t>
            </w:r>
          </w:p>
        </w:tc>
        <w:tc>
          <w:tcPr>
            <w:tcW w:type="dxa" w:w="737"/>
            <w:shd w:val="clear" w:fill="F7F8FA"/>
          </w:tcPr>
          <w:p>
            <w:pPr>
              <w:spacing w:after="20" w:before="20"/>
              <w:jc w:val="center"/>
            </w:pPr>
            <w:r/>
            <w:r>
              <w:rPr>
                <w:sz w:val="15"/>
              </w:rPr>
              <w:t>0,0087</w:t>
            </w:r>
          </w:p>
        </w:tc>
        <w:tc>
          <w:tcPr>
            <w:tcW w:type="dxa" w:w="907"/>
            <w:shd w:val="clear" w:fill="F7F8FA"/>
          </w:tcPr>
          <w:p>
            <w:pPr>
              <w:spacing w:after="20" w:before="20"/>
              <w:jc w:val="center"/>
            </w:pPr>
            <w:r/>
            <w:r>
              <w:rPr>
                <w:sz w:val="15"/>
              </w:rPr>
              <w:t>0,4100</w:t>
            </w:r>
          </w:p>
        </w:tc>
        <w:tc>
          <w:tcPr>
            <w:tcW w:type="dxa" w:w="964"/>
            <w:shd w:val="clear" w:fill="F7F8FA"/>
          </w:tcPr>
          <w:p>
            <w:pPr>
              <w:spacing w:after="20" w:before="20"/>
              <w:jc w:val="center"/>
            </w:pPr>
            <w:r/>
            <w:r>
              <w:rPr>
                <w:sz w:val="15"/>
              </w:rPr>
              <w:t>0,1777</w:t>
            </w:r>
          </w:p>
        </w:tc>
        <w:tc>
          <w:tcPr>
            <w:tcW w:type="dxa" w:w="964"/>
            <w:shd w:val="clear" w:fill="F7F8FA"/>
          </w:tcPr>
          <w:p>
            <w:pPr>
              <w:spacing w:after="20" w:before="20"/>
              <w:jc w:val="center"/>
            </w:pPr>
            <w:r/>
            <w:r>
              <w:rPr>
                <w:sz w:val="15"/>
              </w:rPr>
              <w:t>0,05</w:t>
            </w:r>
          </w:p>
        </w:tc>
        <w:tc>
          <w:tcPr>
            <w:tcW w:type="dxa" w:w="907"/>
            <w:shd w:val="clear" w:fill="F7F8FA"/>
          </w:tcPr>
          <w:p>
            <w:pPr>
              <w:spacing w:after="20" w:before="20"/>
              <w:jc w:val="center"/>
            </w:pPr>
            <w:r/>
            <w:r>
              <w:rPr>
                <w:sz w:val="15"/>
              </w:rPr>
              <w:t>63</w:t>
            </w:r>
          </w:p>
        </w:tc>
        <w:tc>
          <w:tcPr>
            <w:tcW w:type="dxa" w:w="1020"/>
            <w:shd w:val="clear" w:fill="F7F8FA"/>
          </w:tcPr>
          <w:p>
            <w:pPr>
              <w:spacing w:after="20" w:before="20"/>
              <w:jc w:val="center"/>
            </w:pPr>
            <w:r/>
            <w:r>
              <w:rPr>
                <w:sz w:val="15"/>
              </w:rPr>
              <w:t>20</w:t>
            </w:r>
          </w:p>
        </w:tc>
        <w:tc>
          <w:tcPr>
            <w:tcW w:type="dxa" w:w="510"/>
            <w:shd w:val="clear" w:fill="F7F8FA"/>
          </w:tcPr>
          <w:p>
            <w:pPr>
              <w:spacing w:after="20" w:before="20"/>
              <w:jc w:val="center"/>
            </w:pPr>
            <w:r/>
            <w:r>
              <w:rPr>
                <w:sz w:val="15"/>
              </w:rPr>
              <w:t>2,0</w:t>
            </w:r>
          </w:p>
        </w:tc>
        <w:tc>
          <w:tcPr>
            <w:tcW w:type="dxa" w:w="907"/>
            <w:shd w:val="clear" w:fill="F7F8FA"/>
          </w:tcPr>
          <w:p>
            <w:pPr>
              <w:spacing w:after="20" w:before="20"/>
              <w:jc w:val="center"/>
            </w:pPr>
            <w:r/>
            <w:r>
              <w:rPr>
                <w:sz w:val="15"/>
              </w:rPr>
              <w:t>0,8</w:t>
            </w:r>
          </w:p>
        </w:tc>
        <w:tc>
          <w:tcPr>
            <w:tcW w:type="dxa" w:w="907"/>
            <w:shd w:val="clear" w:fill="F7F8FA"/>
          </w:tcPr>
          <w:p>
            <w:pPr>
              <w:spacing w:after="20" w:before="20"/>
              <w:jc w:val="center"/>
            </w:pPr>
            <w:r/>
            <w:r>
              <w:rPr>
                <w:sz w:val="15"/>
              </w:rPr>
              <w:t>None</w:t>
            </w:r>
          </w:p>
        </w:tc>
      </w:tr>
      <w:tr>
        <w:tc>
          <w:tcPr>
            <w:tcW w:type="dxa" w:w="680"/>
          </w:tcPr>
          <w:p>
            <w:pPr>
              <w:spacing w:after="20" w:before="20"/>
              <w:jc w:val="center"/>
            </w:pPr>
            <w:r/>
            <w:r>
              <w:rPr>
                <w:sz w:val="15"/>
              </w:rPr>
              <w:t>3</w:t>
            </w:r>
          </w:p>
        </w:tc>
        <w:tc>
          <w:tcPr>
            <w:tcW w:type="dxa" w:w="794"/>
          </w:tcPr>
          <w:p>
            <w:pPr>
              <w:spacing w:after="20" w:before="20"/>
              <w:jc w:val="center"/>
            </w:pPr>
            <w:r/>
            <w:r>
              <w:rPr>
                <w:sz w:val="15"/>
              </w:rPr>
              <w:t>0,2318</w:t>
            </w:r>
          </w:p>
        </w:tc>
        <w:tc>
          <w:tcPr>
            <w:tcW w:type="dxa" w:w="737"/>
          </w:tcPr>
          <w:p>
            <w:pPr>
              <w:spacing w:after="20" w:before="20"/>
              <w:jc w:val="center"/>
            </w:pPr>
            <w:r/>
            <w:r>
              <w:rPr>
                <w:sz w:val="15"/>
              </w:rPr>
              <w:t>0,0098</w:t>
            </w:r>
          </w:p>
        </w:tc>
        <w:tc>
          <w:tcPr>
            <w:tcW w:type="dxa" w:w="907"/>
          </w:tcPr>
          <w:p>
            <w:pPr>
              <w:spacing w:after="20" w:before="20"/>
              <w:jc w:val="center"/>
            </w:pPr>
            <w:r/>
            <w:r>
              <w:rPr>
                <w:sz w:val="15"/>
              </w:rPr>
              <w:t>0,4228</w:t>
            </w:r>
          </w:p>
        </w:tc>
        <w:tc>
          <w:tcPr>
            <w:tcW w:type="dxa" w:w="964"/>
          </w:tcPr>
          <w:p>
            <w:pPr>
              <w:spacing w:after="20" w:before="20"/>
              <w:jc w:val="center"/>
            </w:pPr>
            <w:r/>
            <w:r>
              <w:rPr>
                <w:sz w:val="15"/>
              </w:rPr>
              <w:t>0,1910</w:t>
            </w:r>
          </w:p>
        </w:tc>
        <w:tc>
          <w:tcPr>
            <w:tcW w:type="dxa" w:w="964"/>
          </w:tcPr>
          <w:p>
            <w:pPr>
              <w:spacing w:after="20" w:before="20"/>
              <w:jc w:val="center"/>
            </w:pPr>
            <w:r/>
            <w:r>
              <w:rPr>
                <w:sz w:val="15"/>
              </w:rPr>
              <w:t>0,02</w:t>
            </w:r>
          </w:p>
        </w:tc>
        <w:tc>
          <w:tcPr>
            <w:tcW w:type="dxa" w:w="907"/>
          </w:tcPr>
          <w:p>
            <w:pPr>
              <w:spacing w:after="20" w:before="20"/>
              <w:jc w:val="center"/>
            </w:pPr>
            <w:r/>
            <w:r>
              <w:rPr>
                <w:sz w:val="15"/>
              </w:rPr>
              <w:t>63</w:t>
            </w:r>
          </w:p>
        </w:tc>
        <w:tc>
          <w:tcPr>
            <w:tcW w:type="dxa" w:w="1020"/>
          </w:tcPr>
          <w:p>
            <w:pPr>
              <w:spacing w:after="20" w:before="20"/>
              <w:jc w:val="center"/>
            </w:pPr>
            <w:r/>
            <w:r>
              <w:rPr>
                <w:sz w:val="15"/>
              </w:rPr>
              <w:t>20</w:t>
            </w:r>
          </w:p>
        </w:tc>
        <w:tc>
          <w:tcPr>
            <w:tcW w:type="dxa" w:w="510"/>
          </w:tcPr>
          <w:p>
            <w:pPr>
              <w:spacing w:after="20" w:before="20"/>
              <w:jc w:val="center"/>
            </w:pPr>
            <w:r/>
            <w:r>
              <w:rPr>
                <w:sz w:val="15"/>
              </w:rPr>
              <w:t>0,0</w:t>
            </w:r>
          </w:p>
        </w:tc>
        <w:tc>
          <w:tcPr>
            <w:tcW w:type="dxa" w:w="907"/>
          </w:tcPr>
          <w:p>
            <w:pPr>
              <w:spacing w:after="20" w:before="20"/>
              <w:jc w:val="center"/>
            </w:pPr>
            <w:r/>
            <w:r>
              <w:rPr>
                <w:sz w:val="15"/>
              </w:rPr>
              <w:t>1,0</w:t>
            </w:r>
          </w:p>
        </w:tc>
        <w:tc>
          <w:tcPr>
            <w:tcW w:type="dxa" w:w="907"/>
          </w:tcPr>
          <w:p>
            <w:pPr>
              <w:spacing w:after="20" w:before="20"/>
              <w:jc w:val="center"/>
            </w:pPr>
            <w:r/>
            <w:r>
              <w:rPr>
                <w:sz w:val="15"/>
              </w:rPr>
              <w:t>None</w:t>
            </w:r>
          </w:p>
        </w:tc>
      </w:tr>
      <w:tr>
        <w:tc>
          <w:tcPr>
            <w:tcW w:type="dxa" w:w="680"/>
            <w:shd w:val="clear" w:fill="F7F8FA"/>
          </w:tcPr>
          <w:p>
            <w:pPr>
              <w:spacing w:after="20" w:before="20"/>
              <w:jc w:val="center"/>
            </w:pPr>
            <w:r/>
            <w:r>
              <w:rPr>
                <w:sz w:val="15"/>
              </w:rPr>
              <w:t>4</w:t>
            </w:r>
          </w:p>
        </w:tc>
        <w:tc>
          <w:tcPr>
            <w:tcW w:type="dxa" w:w="794"/>
            <w:shd w:val="clear" w:fill="F7F8FA"/>
          </w:tcPr>
          <w:p>
            <w:pPr>
              <w:spacing w:after="20" w:before="20"/>
              <w:jc w:val="center"/>
            </w:pPr>
            <w:r/>
            <w:r>
              <w:rPr>
                <w:sz w:val="15"/>
              </w:rPr>
              <w:t>0,2317</w:t>
            </w:r>
          </w:p>
        </w:tc>
        <w:tc>
          <w:tcPr>
            <w:tcW w:type="dxa" w:w="737"/>
            <w:shd w:val="clear" w:fill="F7F8FA"/>
          </w:tcPr>
          <w:p>
            <w:pPr>
              <w:spacing w:after="20" w:before="20"/>
              <w:jc w:val="center"/>
            </w:pPr>
            <w:r/>
            <w:r>
              <w:rPr>
                <w:sz w:val="15"/>
              </w:rPr>
              <w:t>0,0108</w:t>
            </w:r>
          </w:p>
        </w:tc>
        <w:tc>
          <w:tcPr>
            <w:tcW w:type="dxa" w:w="907"/>
            <w:shd w:val="clear" w:fill="F7F8FA"/>
          </w:tcPr>
          <w:p>
            <w:pPr>
              <w:spacing w:after="20" w:before="20"/>
              <w:jc w:val="center"/>
            </w:pPr>
            <w:r/>
            <w:r>
              <w:rPr>
                <w:sz w:val="15"/>
              </w:rPr>
              <w:t>0,3299</w:t>
            </w:r>
          </w:p>
        </w:tc>
        <w:tc>
          <w:tcPr>
            <w:tcW w:type="dxa" w:w="964"/>
            <w:shd w:val="clear" w:fill="F7F8FA"/>
          </w:tcPr>
          <w:p>
            <w:pPr>
              <w:spacing w:after="20" w:before="20"/>
              <w:jc w:val="center"/>
            </w:pPr>
            <w:r/>
            <w:r>
              <w:rPr>
                <w:sz w:val="15"/>
              </w:rPr>
              <w:t>0,0982</w:t>
            </w:r>
          </w:p>
        </w:tc>
        <w:tc>
          <w:tcPr>
            <w:tcW w:type="dxa" w:w="964"/>
            <w:shd w:val="clear" w:fill="F7F8FA"/>
          </w:tcPr>
          <w:p>
            <w:pPr>
              <w:spacing w:after="20" w:before="20"/>
              <w:jc w:val="center"/>
            </w:pPr>
            <w:r/>
            <w:r>
              <w:rPr>
                <w:sz w:val="15"/>
              </w:rPr>
              <w:t>0,05</w:t>
            </w:r>
          </w:p>
        </w:tc>
        <w:tc>
          <w:tcPr>
            <w:tcW w:type="dxa" w:w="907"/>
            <w:shd w:val="clear" w:fill="F7F8FA"/>
          </w:tcPr>
          <w:p>
            <w:pPr>
              <w:spacing w:after="20" w:before="20"/>
              <w:jc w:val="center"/>
            </w:pPr>
            <w:r/>
            <w:r>
              <w:rPr>
                <w:sz w:val="15"/>
              </w:rPr>
              <w:t>31</w:t>
            </w:r>
          </w:p>
        </w:tc>
        <w:tc>
          <w:tcPr>
            <w:tcW w:type="dxa" w:w="1020"/>
            <w:shd w:val="clear" w:fill="F7F8FA"/>
          </w:tcPr>
          <w:p>
            <w:pPr>
              <w:spacing w:after="20" w:before="20"/>
              <w:jc w:val="center"/>
            </w:pPr>
            <w:r/>
            <w:r>
              <w:rPr>
                <w:sz w:val="15"/>
              </w:rPr>
              <w:t>100</w:t>
            </w:r>
          </w:p>
        </w:tc>
        <w:tc>
          <w:tcPr>
            <w:tcW w:type="dxa" w:w="510"/>
            <w:shd w:val="clear" w:fill="F7F8FA"/>
          </w:tcPr>
          <w:p>
            <w:pPr>
              <w:spacing w:after="20" w:before="20"/>
              <w:jc w:val="center"/>
            </w:pPr>
            <w:r/>
            <w:r>
              <w:rPr>
                <w:sz w:val="15"/>
              </w:rPr>
              <w:t>0,5</w:t>
            </w:r>
          </w:p>
        </w:tc>
        <w:tc>
          <w:tcPr>
            <w:tcW w:type="dxa" w:w="907"/>
            <w:shd w:val="clear" w:fill="F7F8FA"/>
          </w:tcPr>
          <w:p>
            <w:pPr>
              <w:spacing w:after="20" w:before="20"/>
              <w:jc w:val="center"/>
            </w:pPr>
            <w:r/>
            <w:r>
              <w:rPr>
                <w:sz w:val="15"/>
              </w:rPr>
              <w:t>0,8</w:t>
            </w:r>
          </w:p>
        </w:tc>
        <w:tc>
          <w:tcPr>
            <w:tcW w:type="dxa" w:w="907"/>
            <w:shd w:val="clear" w:fill="F7F8FA"/>
          </w:tcPr>
          <w:p>
            <w:pPr>
              <w:spacing w:after="20" w:before="20"/>
              <w:jc w:val="center"/>
            </w:pPr>
            <w:r/>
            <w:r>
              <w:rPr>
                <w:sz w:val="15"/>
              </w:rPr>
              <w:t>None</w:t>
            </w:r>
          </w:p>
        </w:tc>
      </w:tr>
      <w:tr>
        <w:tc>
          <w:tcPr>
            <w:tcW w:type="dxa" w:w="680"/>
          </w:tcPr>
          <w:p>
            <w:pPr>
              <w:spacing w:after="20" w:before="20"/>
              <w:jc w:val="center"/>
            </w:pPr>
            <w:r/>
            <w:r>
              <w:rPr>
                <w:sz w:val="15"/>
              </w:rPr>
              <w:t>5</w:t>
            </w:r>
          </w:p>
        </w:tc>
        <w:tc>
          <w:tcPr>
            <w:tcW w:type="dxa" w:w="794"/>
          </w:tcPr>
          <w:p>
            <w:pPr>
              <w:spacing w:after="20" w:before="20"/>
              <w:jc w:val="center"/>
            </w:pPr>
            <w:r/>
            <w:r>
              <w:rPr>
                <w:sz w:val="15"/>
              </w:rPr>
              <w:t>0,2295</w:t>
            </w:r>
          </w:p>
        </w:tc>
        <w:tc>
          <w:tcPr>
            <w:tcW w:type="dxa" w:w="737"/>
          </w:tcPr>
          <w:p>
            <w:pPr>
              <w:spacing w:after="20" w:before="20"/>
              <w:jc w:val="center"/>
            </w:pPr>
            <w:r/>
            <w:r>
              <w:rPr>
                <w:sz w:val="15"/>
              </w:rPr>
              <w:t>0,0093</w:t>
            </w:r>
          </w:p>
        </w:tc>
        <w:tc>
          <w:tcPr>
            <w:tcW w:type="dxa" w:w="907"/>
          </w:tcPr>
          <w:p>
            <w:pPr>
              <w:spacing w:after="20" w:before="20"/>
              <w:jc w:val="center"/>
            </w:pPr>
            <w:r/>
            <w:r>
              <w:rPr>
                <w:sz w:val="15"/>
              </w:rPr>
              <w:t>0,3551</w:t>
            </w:r>
          </w:p>
        </w:tc>
        <w:tc>
          <w:tcPr>
            <w:tcW w:type="dxa" w:w="964"/>
          </w:tcPr>
          <w:p>
            <w:pPr>
              <w:spacing w:after="20" w:before="20"/>
              <w:jc w:val="center"/>
            </w:pPr>
            <w:r/>
            <w:r>
              <w:rPr>
                <w:sz w:val="15"/>
              </w:rPr>
              <w:t>0,1256</w:t>
            </w:r>
          </w:p>
        </w:tc>
        <w:tc>
          <w:tcPr>
            <w:tcW w:type="dxa" w:w="964"/>
          </w:tcPr>
          <w:p>
            <w:pPr>
              <w:spacing w:after="20" w:before="20"/>
              <w:jc w:val="center"/>
            </w:pPr>
            <w:r/>
            <w:r>
              <w:rPr>
                <w:sz w:val="15"/>
              </w:rPr>
              <w:t>0,08</w:t>
            </w:r>
          </w:p>
        </w:tc>
        <w:tc>
          <w:tcPr>
            <w:tcW w:type="dxa" w:w="907"/>
          </w:tcPr>
          <w:p>
            <w:pPr>
              <w:spacing w:after="20" w:before="20"/>
              <w:jc w:val="center"/>
            </w:pPr>
            <w:r/>
            <w:r>
              <w:rPr>
                <w:sz w:val="15"/>
              </w:rPr>
              <w:t>31</w:t>
            </w:r>
          </w:p>
        </w:tc>
        <w:tc>
          <w:tcPr>
            <w:tcW w:type="dxa" w:w="1020"/>
          </w:tcPr>
          <w:p>
            <w:pPr>
              <w:spacing w:after="20" w:before="20"/>
              <w:jc w:val="center"/>
            </w:pPr>
            <w:r/>
            <w:r>
              <w:rPr>
                <w:sz w:val="15"/>
              </w:rPr>
              <w:t>20</w:t>
            </w:r>
          </w:p>
        </w:tc>
        <w:tc>
          <w:tcPr>
            <w:tcW w:type="dxa" w:w="510"/>
          </w:tcPr>
          <w:p>
            <w:pPr>
              <w:spacing w:after="20" w:before="20"/>
              <w:jc w:val="center"/>
            </w:pPr>
            <w:r/>
            <w:r>
              <w:rPr>
                <w:sz w:val="15"/>
              </w:rPr>
              <w:t>0,5</w:t>
            </w:r>
          </w:p>
        </w:tc>
        <w:tc>
          <w:tcPr>
            <w:tcW w:type="dxa" w:w="907"/>
          </w:tcPr>
          <w:p>
            <w:pPr>
              <w:spacing w:after="20" w:before="20"/>
              <w:jc w:val="center"/>
            </w:pPr>
            <w:r/>
            <w:r>
              <w:rPr>
                <w:sz w:val="15"/>
              </w:rPr>
              <w:t>0,6</w:t>
            </w:r>
          </w:p>
        </w:tc>
        <w:tc>
          <w:tcPr>
            <w:tcW w:type="dxa" w:w="907"/>
          </w:tcPr>
          <w:p>
            <w:pPr>
              <w:spacing w:after="20" w:before="20"/>
              <w:jc w:val="center"/>
            </w:pPr>
            <w:r/>
            <w:r>
              <w:rPr>
                <w:sz w:val="15"/>
              </w:rPr>
              <w:t>None</w:t>
            </w:r>
          </w:p>
        </w:tc>
      </w:tr>
    </w:tbl>
    <w:p>
      <w:pPr>
        <w:spacing w:after="0"/>
      </w:pPr>
    </w:p>
    <w:p>
      <w:r>
        <w:t>La combinación ganadora obtuvo una AP de 0,2328 en validación cruzada. Lo relevante es compararla con la segunda, cuya AP es 0,2323 —una diferencia de 0,0005, muy inferior a la desviación entre pliegues— pero cuyo sobreajuste es 0,1777 frente a 0,0518. La segunda alcanza 0,4100 en entrenamiento: memoriza mucho más y generaliza igual. La búsqueda seleccionó la configuración más contenida sin necesidad de intervención manual, porque la validación cruzada mide generalización y no ajuste.</w:t>
      </w:r>
    </w:p>
    <w:p>
      <w:pPr>
        <w:keepNext/>
        <w:spacing w:before="160" w:after="40"/>
        <w:jc w:val="center"/>
      </w:pPr>
      <w:r>
        <w:drawing>
          <wp:inline xmlns:a="http://schemas.openxmlformats.org/drawingml/2006/main" xmlns:pic="http://schemas.openxmlformats.org/drawingml/2006/picture">
            <wp:extent cx="3420000" cy="2123756"/>
            <wp:docPr id="1" name="Picture 1"/>
            <wp:cNvGraphicFramePr>
              <a:graphicFrameLocks noChangeAspect="1"/>
            </wp:cNvGraphicFramePr>
            <a:graphic>
              <a:graphicData uri="http://schemas.openxmlformats.org/drawingml/2006/picture">
                <pic:pic>
                  <pic:nvPicPr>
                    <pic:cNvPr id="0" name="03_sobreajuste.png"/>
                    <pic:cNvPicPr/>
                  </pic:nvPicPr>
                  <pic:blipFill>
                    <a:blip r:embed="rId10"/>
                    <a:stretch>
                      <a:fillRect/>
                    </a:stretch>
                  </pic:blipFill>
                  <pic:spPr>
                    <a:xfrm>
                      <a:off x="0" y="0"/>
                      <a:ext cx="3420000" cy="2123756"/>
                    </a:xfrm>
                    <a:prstGeom prst="rect"/>
                  </pic:spPr>
                </pic:pic>
              </a:graphicData>
            </a:graphic>
          </wp:inline>
        </w:drawing>
      </w:r>
    </w:p>
    <w:p>
      <w:pPr>
        <w:keepNext w:val="0"/>
        <w:spacing w:before="40" w:after="80"/>
        <w:jc w:val="center"/>
      </w:pPr>
      <w:r>
        <w:rPr>
          <w:b/>
          <w:color w:val="555A62"/>
          <w:sz w:val="17"/>
        </w:rPr>
        <w:t>Figura 1.</w:t>
      </w:r>
      <w:r>
        <w:rPr>
          <w:color w:val="555A62"/>
          <w:sz w:val="17"/>
        </w:rPr>
        <w:t xml:space="preserve"> AP de entrenamiento frente a AP de validación cruzada en las treinta combinaciones. Los puntos alejados de la diagonal memorizan sin mejorar la generalización.</w:t>
      </w:r>
    </w:p>
    <w:p>
      <w:pPr>
        <w:keepNext/>
        <w:spacing w:before="80" w:after="160"/>
        <w:jc w:val="center"/>
      </w:pPr>
      <w:r>
        <w:rPr>
          <w:b/>
          <w:color w:val="555A62"/>
          <w:sz w:val="17"/>
        </w:rPr>
        <w:t>Tabla 11.</w:t>
      </w:r>
      <w:r>
        <w:rPr>
          <w:color w:val="555A62"/>
          <w:sz w:val="17"/>
        </w:rPr>
        <w:t xml:space="preserve"> Hiperparámetros seleccionados.</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154"/>
            <w:shd w:val="clear" w:fill="1F3B63"/>
          </w:tcPr>
          <w:p>
            <w:pPr>
              <w:spacing w:after="20" w:before="20"/>
              <w:jc w:val="center"/>
            </w:pPr>
            <w:r/>
            <w:r>
              <w:rPr>
                <w:b/>
                <w:color w:val="FFFFFF"/>
                <w:sz w:val="17"/>
              </w:rPr>
              <w:t>Hiperparámetro</w:t>
            </w:r>
          </w:p>
        </w:tc>
        <w:tc>
          <w:tcPr>
            <w:tcW w:type="dxa" w:w="1247"/>
            <w:shd w:val="clear" w:fill="1F3B63"/>
          </w:tcPr>
          <w:p>
            <w:pPr>
              <w:spacing w:after="20" w:before="20"/>
              <w:jc w:val="center"/>
            </w:pPr>
            <w:r/>
            <w:r>
              <w:rPr>
                <w:b/>
                <w:color w:val="FFFFFF"/>
                <w:sz w:val="17"/>
              </w:rPr>
              <w:t>Valor</w:t>
            </w:r>
          </w:p>
        </w:tc>
        <w:tc>
          <w:tcPr>
            <w:tcW w:type="dxa" w:w="5669"/>
            <w:shd w:val="clear" w:fill="1F3B63"/>
          </w:tcPr>
          <w:p>
            <w:pPr>
              <w:spacing w:after="20" w:before="20"/>
              <w:jc w:val="center"/>
            </w:pPr>
            <w:r/>
            <w:r>
              <w:rPr>
                <w:b/>
                <w:color w:val="FFFFFF"/>
                <w:sz w:val="17"/>
              </w:rPr>
              <w:t>Lectura</w:t>
            </w:r>
          </w:p>
        </w:tc>
      </w:tr>
      <w:tr>
        <w:tc>
          <w:tcPr>
            <w:tcW w:type="dxa" w:w="2154"/>
          </w:tcPr>
          <w:p>
            <w:pPr>
              <w:spacing w:after="20" w:before="20"/>
              <w:jc w:val="left"/>
            </w:pPr>
            <w:r/>
            <w:r>
              <w:rPr>
                <w:sz w:val="17"/>
              </w:rPr>
              <w:t>learning_rate</w:t>
            </w:r>
          </w:p>
        </w:tc>
        <w:tc>
          <w:tcPr>
            <w:tcW w:type="dxa" w:w="1247"/>
          </w:tcPr>
          <w:p>
            <w:pPr>
              <w:spacing w:after="20" w:before="20"/>
              <w:jc w:val="center"/>
            </w:pPr>
            <w:r/>
            <w:r>
              <w:rPr>
                <w:sz w:val="17"/>
              </w:rPr>
              <w:t>0,05</w:t>
            </w:r>
          </w:p>
        </w:tc>
        <w:tc>
          <w:tcPr>
            <w:tcW w:type="dxa" w:w="5669"/>
          </w:tcPr>
          <w:p>
            <w:pPr>
              <w:spacing w:after="20" w:before="20"/>
              <w:jc w:val="left"/>
            </w:pPr>
            <w:r/>
            <w:r>
              <w:rPr>
                <w:sz w:val="17"/>
              </w:rPr>
              <w:t>corrección moderada por árbol</w:t>
            </w:r>
          </w:p>
        </w:tc>
      </w:tr>
      <w:tr>
        <w:tc>
          <w:tcPr>
            <w:tcW w:type="dxa" w:w="2154"/>
            <w:shd w:val="clear" w:fill="F7F8FA"/>
          </w:tcPr>
          <w:p>
            <w:pPr>
              <w:spacing w:after="20" w:before="20"/>
              <w:jc w:val="left"/>
            </w:pPr>
            <w:r/>
            <w:r>
              <w:rPr>
                <w:sz w:val="17"/>
              </w:rPr>
              <w:t>max_leaf_nodes</w:t>
            </w:r>
          </w:p>
        </w:tc>
        <w:tc>
          <w:tcPr>
            <w:tcW w:type="dxa" w:w="1247"/>
            <w:shd w:val="clear" w:fill="F7F8FA"/>
          </w:tcPr>
          <w:p>
            <w:pPr>
              <w:spacing w:after="20" w:before="20"/>
              <w:jc w:val="center"/>
            </w:pPr>
            <w:r/>
            <w:r>
              <w:rPr>
                <w:sz w:val="17"/>
              </w:rPr>
              <w:t>15</w:t>
            </w:r>
          </w:p>
        </w:tc>
        <w:tc>
          <w:tcPr>
            <w:tcW w:type="dxa" w:w="5669"/>
            <w:shd w:val="clear" w:fill="F7F8FA"/>
          </w:tcPr>
          <w:p>
            <w:pPr>
              <w:spacing w:after="20" w:before="20"/>
              <w:jc w:val="left"/>
            </w:pPr>
            <w:r/>
            <w:r>
              <w:rPr>
                <w:sz w:val="17"/>
              </w:rPr>
              <w:t>árboles pequeños, lejos del máximo explorado (63)</w:t>
            </w:r>
          </w:p>
        </w:tc>
      </w:tr>
      <w:tr>
        <w:tc>
          <w:tcPr>
            <w:tcW w:type="dxa" w:w="2154"/>
          </w:tcPr>
          <w:p>
            <w:pPr>
              <w:spacing w:after="20" w:before="20"/>
              <w:jc w:val="left"/>
            </w:pPr>
            <w:r/>
            <w:r>
              <w:rPr>
                <w:sz w:val="17"/>
              </w:rPr>
              <w:t>min_samples_leaf</w:t>
            </w:r>
          </w:p>
        </w:tc>
        <w:tc>
          <w:tcPr>
            <w:tcW w:type="dxa" w:w="1247"/>
          </w:tcPr>
          <w:p>
            <w:pPr>
              <w:spacing w:after="20" w:before="20"/>
              <w:jc w:val="center"/>
            </w:pPr>
            <w:r/>
            <w:r>
              <w:rPr>
                <w:sz w:val="17"/>
              </w:rPr>
              <w:t>100</w:t>
            </w:r>
          </w:p>
        </w:tc>
        <w:tc>
          <w:tcPr>
            <w:tcW w:type="dxa" w:w="5669"/>
          </w:tcPr>
          <w:p>
            <w:pPr>
              <w:spacing w:after="20" w:before="20"/>
              <w:jc w:val="left"/>
            </w:pPr>
            <w:r/>
            <w:r>
              <w:rPr>
                <w:sz w:val="17"/>
              </w:rPr>
              <w:t>ninguna hoja decide con menos de cien registros</w:t>
            </w:r>
          </w:p>
        </w:tc>
      </w:tr>
      <w:tr>
        <w:tc>
          <w:tcPr>
            <w:tcW w:type="dxa" w:w="2154"/>
            <w:shd w:val="clear" w:fill="F7F8FA"/>
          </w:tcPr>
          <w:p>
            <w:pPr>
              <w:spacing w:after="20" w:before="20"/>
              <w:jc w:val="left"/>
            </w:pPr>
            <w:r/>
            <w:r>
              <w:rPr>
                <w:sz w:val="17"/>
              </w:rPr>
              <w:t>l2_regularization</w:t>
            </w:r>
          </w:p>
        </w:tc>
        <w:tc>
          <w:tcPr>
            <w:tcW w:type="dxa" w:w="1247"/>
            <w:shd w:val="clear" w:fill="F7F8FA"/>
          </w:tcPr>
          <w:p>
            <w:pPr>
              <w:spacing w:after="20" w:before="20"/>
              <w:jc w:val="center"/>
            </w:pPr>
            <w:r/>
            <w:r>
              <w:rPr>
                <w:sz w:val="17"/>
              </w:rPr>
              <w:t>0,5</w:t>
            </w:r>
          </w:p>
        </w:tc>
        <w:tc>
          <w:tcPr>
            <w:tcW w:type="dxa" w:w="5669"/>
            <w:shd w:val="clear" w:fill="F7F8FA"/>
          </w:tcPr>
          <w:p>
            <w:pPr>
              <w:spacing w:after="20" w:before="20"/>
              <w:jc w:val="left"/>
            </w:pPr>
            <w:r/>
            <w:r>
              <w:rPr>
                <w:sz w:val="17"/>
              </w:rPr>
              <w:t>penalización suave de la complejidad</w:t>
            </w:r>
          </w:p>
        </w:tc>
      </w:tr>
      <w:tr>
        <w:tc>
          <w:tcPr>
            <w:tcW w:type="dxa" w:w="2154"/>
          </w:tcPr>
          <w:p>
            <w:pPr>
              <w:spacing w:after="20" w:before="20"/>
              <w:jc w:val="left"/>
            </w:pPr>
            <w:r/>
            <w:r>
              <w:rPr>
                <w:sz w:val="17"/>
              </w:rPr>
              <w:t>max_features</w:t>
            </w:r>
          </w:p>
        </w:tc>
        <w:tc>
          <w:tcPr>
            <w:tcW w:type="dxa" w:w="1247"/>
          </w:tcPr>
          <w:p>
            <w:pPr>
              <w:spacing w:after="20" w:before="20"/>
              <w:jc w:val="center"/>
            </w:pPr>
            <w:r/>
            <w:r>
              <w:rPr>
                <w:sz w:val="17"/>
              </w:rPr>
              <w:t>0,8</w:t>
            </w:r>
          </w:p>
        </w:tc>
        <w:tc>
          <w:tcPr>
            <w:tcW w:type="dxa" w:w="5669"/>
          </w:tcPr>
          <w:p>
            <w:pPr>
              <w:spacing w:after="20" w:before="20"/>
              <w:jc w:val="left"/>
            </w:pPr>
            <w:r/>
            <w:r>
              <w:rPr>
                <w:sz w:val="17"/>
              </w:rPr>
              <w:t>cada árbol ve el 80 % de las variables</w:t>
            </w:r>
          </w:p>
        </w:tc>
      </w:tr>
      <w:tr>
        <w:tc>
          <w:tcPr>
            <w:tcW w:type="dxa" w:w="2154"/>
            <w:shd w:val="clear" w:fill="F7F8FA"/>
          </w:tcPr>
          <w:p>
            <w:pPr>
              <w:spacing w:after="20" w:before="20"/>
              <w:jc w:val="left"/>
            </w:pPr>
            <w:r/>
            <w:r>
              <w:rPr>
                <w:sz w:val="17"/>
              </w:rPr>
              <w:t>class_weight</w:t>
            </w:r>
          </w:p>
        </w:tc>
        <w:tc>
          <w:tcPr>
            <w:tcW w:type="dxa" w:w="1247"/>
            <w:shd w:val="clear" w:fill="F7F8FA"/>
          </w:tcPr>
          <w:p>
            <w:pPr>
              <w:spacing w:after="20" w:before="20"/>
              <w:jc w:val="center"/>
            </w:pPr>
            <w:r/>
            <w:r>
              <w:rPr>
                <w:sz w:val="17"/>
              </w:rPr>
              <w:t>None</w:t>
            </w:r>
          </w:p>
        </w:tc>
        <w:tc>
          <w:tcPr>
            <w:tcW w:type="dxa" w:w="5669"/>
            <w:shd w:val="clear" w:fill="F7F8FA"/>
          </w:tcPr>
          <w:p>
            <w:pPr>
              <w:spacing w:after="20" w:before="20"/>
              <w:jc w:val="left"/>
            </w:pPr>
            <w:r/>
            <w:r>
              <w:rPr>
                <w:sz w:val="17"/>
              </w:rPr>
              <w:t>sin compensación: no mejoró la AP, coherente con la tabla 8</w:t>
            </w:r>
          </w:p>
        </w:tc>
      </w:tr>
    </w:tbl>
    <w:p>
      <w:pPr>
        <w:spacing w:after="0"/>
      </w:pPr>
    </w:p>
    <w:p>
      <w:r>
        <w:t>Los valores describen un modelo deliberadamente conservador: árboles de quince hojas con un paso de aprendizaje pequeño, compensado por la cantidad de árboles que la parada temprana permite construir. Es lo esperable cuando la señal es moderada y el riesgo de memorizar, alto.</w:t>
      </w:r>
    </w:p>
    <w:p>
      <w:pPr>
        <w:keepNext/>
        <w:spacing w:before="220" w:after="100"/>
        <w:jc w:val="left"/>
        <w:pBdr>
          <w:bottom w:val="single" w:sz="6" w:space="3" w:color="C5CEDC"/>
        </w:pBdr>
      </w:pPr>
      <w:r>
        <w:rPr>
          <w:b/>
          <w:color w:val="1F3B63"/>
          <w:sz w:val="26"/>
        </w:rPr>
        <w:t>8.  Elección del umbral de decisión</w:t>
      </w:r>
    </w:p>
    <w:p>
      <w:r>
        <w:t xml:space="preserve">El modelo entrega una probabilidad entre 0 y 1. Convertirla en una alerta exige un umbral, y ese umbral </w:t>
      </w:r>
      <w:r>
        <w:rPr>
          <w:b/>
        </w:rPr>
        <w:t>no es un detalle técnico sino una decisión de política de atención</w:t>
      </w:r>
      <w:r>
        <w:t>: determina cuántos reingresos se detectan y cuántas alertas resultan infundadas. El valor 0,50 por defecto es inadecuado aquí, porque con una prevalencia del 11,39 % casi ningún caso supera esa probabilidad.</w:t>
      </w:r>
    </w:p>
    <w:p>
      <w:pPr>
        <w:keepNext/>
        <w:spacing w:before="80" w:after="160"/>
        <w:jc w:val="center"/>
      </w:pPr>
      <w:r>
        <w:rPr>
          <w:b/>
          <w:color w:val="555A62"/>
          <w:sz w:val="17"/>
        </w:rPr>
        <w:t>Tabla 12.</w:t>
      </w:r>
      <w:r>
        <w:rPr>
          <w:color w:val="555A62"/>
          <w:sz w:val="17"/>
        </w:rPr>
        <w:t xml:space="preserve"> Efecto del umbral en validación. La fila sombreada es el umbral seleccionado.</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rPr>
          <w:tblHeader w:val="true"/>
        </w:trPr>
        <w:tc>
          <w:tcPr>
            <w:tcW w:type="dxa" w:w="1020"/>
            <w:shd w:val="clear" w:fill="1F3B63"/>
          </w:tcPr>
          <w:p>
            <w:pPr>
              <w:spacing w:after="20" w:before="20"/>
              <w:jc w:val="center"/>
            </w:pPr>
            <w:r/>
            <w:r>
              <w:rPr>
                <w:b/>
                <w:color w:val="FFFFFF"/>
                <w:sz w:val="16"/>
              </w:rPr>
              <w:t>Umbral</w:t>
            </w:r>
          </w:p>
        </w:tc>
        <w:tc>
          <w:tcPr>
            <w:tcW w:type="dxa" w:w="1134"/>
            <w:shd w:val="clear" w:fill="1F3B63"/>
          </w:tcPr>
          <w:p>
            <w:pPr>
              <w:spacing w:after="20" w:before="20"/>
              <w:jc w:val="center"/>
            </w:pPr>
            <w:r/>
            <w:r>
              <w:rPr>
                <w:b/>
                <w:color w:val="FFFFFF"/>
                <w:sz w:val="16"/>
              </w:rPr>
              <w:t>Alertas</w:t>
            </w:r>
          </w:p>
        </w:tc>
        <w:tc>
          <w:tcPr>
            <w:tcW w:type="dxa" w:w="1247"/>
            <w:shd w:val="clear" w:fill="1F3B63"/>
          </w:tcPr>
          <w:p>
            <w:pPr>
              <w:spacing w:after="20" w:before="20"/>
              <w:jc w:val="center"/>
            </w:pPr>
            <w:r/>
            <w:r>
              <w:rPr>
                <w:b/>
                <w:color w:val="FFFFFF"/>
                <w:sz w:val="16"/>
              </w:rPr>
              <w:t>% población</w:t>
            </w:r>
          </w:p>
        </w:tc>
        <w:tc>
          <w:tcPr>
            <w:tcW w:type="dxa" w:w="964"/>
            <w:shd w:val="clear" w:fill="1F3B63"/>
          </w:tcPr>
          <w:p>
            <w:pPr>
              <w:spacing w:after="20" w:before="20"/>
              <w:jc w:val="center"/>
            </w:pPr>
            <w:r/>
            <w:r>
              <w:rPr>
                <w:b/>
                <w:color w:val="FFFFFF"/>
                <w:sz w:val="16"/>
              </w:rPr>
              <w:t>Recall</w:t>
            </w:r>
          </w:p>
        </w:tc>
        <w:tc>
          <w:tcPr>
            <w:tcW w:type="dxa" w:w="1077"/>
            <w:shd w:val="clear" w:fill="1F3B63"/>
          </w:tcPr>
          <w:p>
            <w:pPr>
              <w:spacing w:after="20" w:before="20"/>
              <w:jc w:val="center"/>
            </w:pPr>
            <w:r/>
            <w:r>
              <w:rPr>
                <w:b/>
                <w:color w:val="FFFFFF"/>
                <w:sz w:val="16"/>
              </w:rPr>
              <w:t>Precisión</w:t>
            </w:r>
          </w:p>
        </w:tc>
        <w:tc>
          <w:tcPr>
            <w:tcW w:type="dxa" w:w="907"/>
            <w:shd w:val="clear" w:fill="1F3B63"/>
          </w:tcPr>
          <w:p>
            <w:pPr>
              <w:spacing w:after="20" w:before="20"/>
              <w:jc w:val="center"/>
            </w:pPr>
            <w:r/>
            <w:r>
              <w:rPr>
                <w:b/>
                <w:color w:val="FFFFFF"/>
                <w:sz w:val="16"/>
              </w:rPr>
              <w:t>F1</w:t>
            </w:r>
          </w:p>
        </w:tc>
        <w:tc>
          <w:tcPr>
            <w:tcW w:type="dxa" w:w="907"/>
            <w:shd w:val="clear" w:fill="1F3B63"/>
          </w:tcPr>
          <w:p>
            <w:pPr>
              <w:spacing w:after="20" w:before="20"/>
              <w:jc w:val="center"/>
            </w:pPr>
            <w:r/>
            <w:r>
              <w:rPr>
                <w:b/>
                <w:color w:val="FFFFFF"/>
                <w:sz w:val="16"/>
              </w:rPr>
              <w:t>VP</w:t>
            </w:r>
          </w:p>
        </w:tc>
        <w:tc>
          <w:tcPr>
            <w:tcW w:type="dxa" w:w="907"/>
            <w:shd w:val="clear" w:fill="1F3B63"/>
          </w:tcPr>
          <w:p>
            <w:pPr>
              <w:spacing w:after="20" w:before="20"/>
              <w:jc w:val="center"/>
            </w:pPr>
            <w:r/>
            <w:r>
              <w:rPr>
                <w:b/>
                <w:color w:val="FFFFFF"/>
                <w:sz w:val="16"/>
              </w:rPr>
              <w:t>FN</w:t>
            </w:r>
          </w:p>
        </w:tc>
        <w:tc>
          <w:tcPr>
            <w:tcW w:type="dxa" w:w="1077"/>
            <w:shd w:val="clear" w:fill="1F3B63"/>
          </w:tcPr>
          <w:p>
            <w:pPr>
              <w:spacing w:after="20" w:before="20"/>
              <w:jc w:val="center"/>
            </w:pPr>
            <w:r/>
            <w:r>
              <w:rPr>
                <w:b/>
                <w:color w:val="FFFFFF"/>
                <w:sz w:val="16"/>
              </w:rPr>
              <w:t>FP</w:t>
            </w:r>
          </w:p>
        </w:tc>
      </w:tr>
      <w:tr>
        <w:tc>
          <w:tcPr>
            <w:tcW w:type="dxa" w:w="1020"/>
          </w:tcPr>
          <w:p>
            <w:pPr>
              <w:spacing w:after="20" w:before="20"/>
              <w:jc w:val="center"/>
            </w:pPr>
            <w:r/>
            <w:r>
              <w:rPr>
                <w:sz w:val="16"/>
              </w:rPr>
              <w:t>0,060</w:t>
            </w:r>
          </w:p>
        </w:tc>
        <w:tc>
          <w:tcPr>
            <w:tcW w:type="dxa" w:w="1134"/>
          </w:tcPr>
          <w:p>
            <w:pPr>
              <w:spacing w:after="20" w:before="20"/>
              <w:jc w:val="center"/>
            </w:pPr>
            <w:r/>
            <w:r>
              <w:rPr>
                <w:sz w:val="16"/>
              </w:rPr>
              <w:t>16.213</w:t>
            </w:r>
          </w:p>
        </w:tc>
        <w:tc>
          <w:tcPr>
            <w:tcW w:type="dxa" w:w="1247"/>
          </w:tcPr>
          <w:p>
            <w:pPr>
              <w:spacing w:after="20" w:before="20"/>
              <w:jc w:val="center"/>
            </w:pPr>
            <w:r/>
            <w:r>
              <w:rPr>
                <w:sz w:val="16"/>
              </w:rPr>
              <w:t>81,6 %</w:t>
            </w:r>
          </w:p>
        </w:tc>
        <w:tc>
          <w:tcPr>
            <w:tcW w:type="dxa" w:w="964"/>
          </w:tcPr>
          <w:p>
            <w:pPr>
              <w:spacing w:after="20" w:before="20"/>
              <w:jc w:val="center"/>
            </w:pPr>
            <w:r/>
            <w:r>
              <w:rPr>
                <w:sz w:val="16"/>
              </w:rPr>
              <w:t>0,9160</w:t>
            </w:r>
          </w:p>
        </w:tc>
        <w:tc>
          <w:tcPr>
            <w:tcW w:type="dxa" w:w="1077"/>
          </w:tcPr>
          <w:p>
            <w:pPr>
              <w:spacing w:after="20" w:before="20"/>
              <w:jc w:val="center"/>
            </w:pPr>
            <w:r/>
            <w:r>
              <w:rPr>
                <w:sz w:val="16"/>
              </w:rPr>
              <w:t>0,1278</w:t>
            </w:r>
          </w:p>
        </w:tc>
        <w:tc>
          <w:tcPr>
            <w:tcW w:type="dxa" w:w="907"/>
          </w:tcPr>
          <w:p>
            <w:pPr>
              <w:spacing w:after="20" w:before="20"/>
              <w:jc w:val="center"/>
            </w:pPr>
            <w:r/>
            <w:r>
              <w:rPr>
                <w:sz w:val="16"/>
              </w:rPr>
              <w:t>0,2243</w:t>
            </w:r>
          </w:p>
        </w:tc>
        <w:tc>
          <w:tcPr>
            <w:tcW w:type="dxa" w:w="907"/>
          </w:tcPr>
          <w:p>
            <w:pPr>
              <w:spacing w:after="20" w:before="20"/>
              <w:jc w:val="center"/>
            </w:pPr>
            <w:r/>
            <w:r>
              <w:rPr>
                <w:sz w:val="16"/>
              </w:rPr>
              <w:t>2.072</w:t>
            </w:r>
          </w:p>
        </w:tc>
        <w:tc>
          <w:tcPr>
            <w:tcW w:type="dxa" w:w="907"/>
          </w:tcPr>
          <w:p>
            <w:pPr>
              <w:spacing w:after="20" w:before="20"/>
              <w:jc w:val="center"/>
            </w:pPr>
            <w:r/>
            <w:r>
              <w:rPr>
                <w:sz w:val="16"/>
              </w:rPr>
              <w:t>190</w:t>
            </w:r>
          </w:p>
        </w:tc>
        <w:tc>
          <w:tcPr>
            <w:tcW w:type="dxa" w:w="1077"/>
          </w:tcPr>
          <w:p>
            <w:pPr>
              <w:spacing w:after="20" w:before="20"/>
              <w:jc w:val="center"/>
            </w:pPr>
            <w:r/>
            <w:r>
              <w:rPr>
                <w:sz w:val="16"/>
              </w:rPr>
              <w:t>14.141</w:t>
            </w:r>
          </w:p>
        </w:tc>
      </w:tr>
      <w:tr>
        <w:tc>
          <w:tcPr>
            <w:tcW w:type="dxa" w:w="1020"/>
            <w:shd w:val="clear" w:fill="F7F8FA"/>
          </w:tcPr>
          <w:p>
            <w:pPr>
              <w:spacing w:after="20" w:before="20"/>
              <w:jc w:val="center"/>
            </w:pPr>
            <w:r/>
            <w:r>
              <w:rPr>
                <w:sz w:val="16"/>
              </w:rPr>
              <w:t>0,100</w:t>
            </w:r>
          </w:p>
        </w:tc>
        <w:tc>
          <w:tcPr>
            <w:tcW w:type="dxa" w:w="1134"/>
            <w:shd w:val="clear" w:fill="F7F8FA"/>
          </w:tcPr>
          <w:p>
            <w:pPr>
              <w:spacing w:after="20" w:before="20"/>
              <w:jc w:val="center"/>
            </w:pPr>
            <w:r/>
            <w:r>
              <w:rPr>
                <w:sz w:val="16"/>
              </w:rPr>
              <w:t>9.370</w:t>
            </w:r>
          </w:p>
        </w:tc>
        <w:tc>
          <w:tcPr>
            <w:tcW w:type="dxa" w:w="1247"/>
            <w:shd w:val="clear" w:fill="F7F8FA"/>
          </w:tcPr>
          <w:p>
            <w:pPr>
              <w:spacing w:after="20" w:before="20"/>
              <w:jc w:val="center"/>
            </w:pPr>
            <w:r/>
            <w:r>
              <w:rPr>
                <w:sz w:val="16"/>
              </w:rPr>
              <w:t>47,2 %</w:t>
            </w:r>
          </w:p>
        </w:tc>
        <w:tc>
          <w:tcPr>
            <w:tcW w:type="dxa" w:w="964"/>
            <w:shd w:val="clear" w:fill="F7F8FA"/>
          </w:tcPr>
          <w:p>
            <w:pPr>
              <w:spacing w:after="20" w:before="20"/>
              <w:jc w:val="center"/>
            </w:pPr>
            <w:r/>
            <w:r>
              <w:rPr>
                <w:sz w:val="16"/>
              </w:rPr>
              <w:t>0,6760</w:t>
            </w:r>
          </w:p>
        </w:tc>
        <w:tc>
          <w:tcPr>
            <w:tcW w:type="dxa" w:w="1077"/>
            <w:shd w:val="clear" w:fill="F7F8FA"/>
          </w:tcPr>
          <w:p>
            <w:pPr>
              <w:spacing w:after="20" w:before="20"/>
              <w:jc w:val="center"/>
            </w:pPr>
            <w:r/>
            <w:r>
              <w:rPr>
                <w:sz w:val="16"/>
              </w:rPr>
              <w:t>0,1632</w:t>
            </w:r>
          </w:p>
        </w:tc>
        <w:tc>
          <w:tcPr>
            <w:tcW w:type="dxa" w:w="907"/>
            <w:shd w:val="clear" w:fill="F7F8FA"/>
          </w:tcPr>
          <w:p>
            <w:pPr>
              <w:spacing w:after="20" w:before="20"/>
              <w:jc w:val="center"/>
            </w:pPr>
            <w:r/>
            <w:r>
              <w:rPr>
                <w:sz w:val="16"/>
              </w:rPr>
              <w:t>0,2629</w:t>
            </w:r>
          </w:p>
        </w:tc>
        <w:tc>
          <w:tcPr>
            <w:tcW w:type="dxa" w:w="907"/>
            <w:shd w:val="clear" w:fill="F7F8FA"/>
          </w:tcPr>
          <w:p>
            <w:pPr>
              <w:spacing w:after="20" w:before="20"/>
              <w:jc w:val="center"/>
            </w:pPr>
            <w:r/>
            <w:r>
              <w:rPr>
                <w:sz w:val="16"/>
              </w:rPr>
              <w:t>1.529</w:t>
            </w:r>
          </w:p>
        </w:tc>
        <w:tc>
          <w:tcPr>
            <w:tcW w:type="dxa" w:w="907"/>
            <w:shd w:val="clear" w:fill="F7F8FA"/>
          </w:tcPr>
          <w:p>
            <w:pPr>
              <w:spacing w:after="20" w:before="20"/>
              <w:jc w:val="center"/>
            </w:pPr>
            <w:r/>
            <w:r>
              <w:rPr>
                <w:sz w:val="16"/>
              </w:rPr>
              <w:t>733</w:t>
            </w:r>
          </w:p>
        </w:tc>
        <w:tc>
          <w:tcPr>
            <w:tcW w:type="dxa" w:w="1077"/>
            <w:shd w:val="clear" w:fill="F7F8FA"/>
          </w:tcPr>
          <w:p>
            <w:pPr>
              <w:spacing w:after="20" w:before="20"/>
              <w:jc w:val="center"/>
            </w:pPr>
            <w:r/>
            <w:r>
              <w:rPr>
                <w:sz w:val="16"/>
              </w:rPr>
              <w:t>7.841</w:t>
            </w:r>
          </w:p>
        </w:tc>
      </w:tr>
      <w:tr>
        <w:tc>
          <w:tcPr>
            <w:tcW w:type="dxa" w:w="1020"/>
          </w:tcPr>
          <w:p>
            <w:pPr>
              <w:spacing w:after="20" w:before="20"/>
              <w:jc w:val="center"/>
            </w:pPr>
            <w:r/>
            <w:r>
              <w:rPr>
                <w:sz w:val="16"/>
              </w:rPr>
              <w:t>0,1123</w:t>
            </w:r>
          </w:p>
        </w:tc>
        <w:tc>
          <w:tcPr>
            <w:tcW w:type="dxa" w:w="1134"/>
          </w:tcPr>
          <w:p>
            <w:pPr>
              <w:spacing w:after="20" w:before="20"/>
              <w:jc w:val="center"/>
            </w:pPr>
            <w:r/>
            <w:r>
              <w:rPr>
                <w:sz w:val="16"/>
              </w:rPr>
              <w:t>7.669</w:t>
            </w:r>
          </w:p>
        </w:tc>
        <w:tc>
          <w:tcPr>
            <w:tcW w:type="dxa" w:w="1247"/>
          </w:tcPr>
          <w:p>
            <w:pPr>
              <w:spacing w:after="20" w:before="20"/>
              <w:jc w:val="center"/>
            </w:pPr>
            <w:r/>
            <w:r>
              <w:rPr>
                <w:sz w:val="16"/>
              </w:rPr>
              <w:t>38,6 %</w:t>
            </w:r>
          </w:p>
        </w:tc>
        <w:tc>
          <w:tcPr>
            <w:tcW w:type="dxa" w:w="964"/>
          </w:tcPr>
          <w:p>
            <w:pPr>
              <w:spacing w:after="20" w:before="20"/>
              <w:jc w:val="center"/>
            </w:pPr>
            <w:r/>
            <w:r>
              <w:rPr>
                <w:sz w:val="16"/>
              </w:rPr>
              <w:t>0,6004</w:t>
            </w:r>
          </w:p>
        </w:tc>
        <w:tc>
          <w:tcPr>
            <w:tcW w:type="dxa" w:w="1077"/>
          </w:tcPr>
          <w:p>
            <w:pPr>
              <w:spacing w:after="20" w:before="20"/>
              <w:jc w:val="center"/>
            </w:pPr>
            <w:r/>
            <w:r>
              <w:rPr>
                <w:sz w:val="16"/>
              </w:rPr>
              <w:t>0,1771</w:t>
            </w:r>
          </w:p>
        </w:tc>
        <w:tc>
          <w:tcPr>
            <w:tcW w:type="dxa" w:w="907"/>
          </w:tcPr>
          <w:p>
            <w:pPr>
              <w:spacing w:after="20" w:before="20"/>
              <w:jc w:val="center"/>
            </w:pPr>
            <w:r/>
            <w:r>
              <w:rPr>
                <w:sz w:val="16"/>
              </w:rPr>
              <w:t>0,2735</w:t>
            </w:r>
          </w:p>
        </w:tc>
        <w:tc>
          <w:tcPr>
            <w:tcW w:type="dxa" w:w="907"/>
          </w:tcPr>
          <w:p>
            <w:pPr>
              <w:spacing w:after="20" w:before="20"/>
              <w:jc w:val="center"/>
            </w:pPr>
            <w:r/>
            <w:r>
              <w:rPr>
                <w:sz w:val="16"/>
              </w:rPr>
              <w:t>1.358</w:t>
            </w:r>
          </w:p>
        </w:tc>
        <w:tc>
          <w:tcPr>
            <w:tcW w:type="dxa" w:w="907"/>
          </w:tcPr>
          <w:p>
            <w:pPr>
              <w:spacing w:after="20" w:before="20"/>
              <w:jc w:val="center"/>
            </w:pPr>
            <w:r/>
            <w:r>
              <w:rPr>
                <w:sz w:val="16"/>
              </w:rPr>
              <w:t>904</w:t>
            </w:r>
          </w:p>
        </w:tc>
        <w:tc>
          <w:tcPr>
            <w:tcW w:type="dxa" w:w="1077"/>
          </w:tcPr>
          <w:p>
            <w:pPr>
              <w:spacing w:after="20" w:before="20"/>
              <w:jc w:val="center"/>
            </w:pPr>
            <w:r/>
            <w:r>
              <w:rPr>
                <w:sz w:val="16"/>
              </w:rPr>
              <w:t>6.311</w:t>
            </w:r>
          </w:p>
        </w:tc>
      </w:tr>
      <w:tr>
        <w:tc>
          <w:tcPr>
            <w:tcW w:type="dxa" w:w="1020"/>
            <w:shd w:val="clear" w:fill="F7F8FA"/>
            <w:shd w:val="clear" w:fill="EDF0F5"/>
          </w:tcPr>
          <w:p>
            <w:pPr>
              <w:spacing w:after="20" w:before="20"/>
              <w:jc w:val="center"/>
            </w:pPr>
            <w:r>
              <w:rPr>
                <w:b/>
              </w:rPr>
            </w:r>
            <w:r>
              <w:rPr>
                <w:b/>
                <w:sz w:val="16"/>
              </w:rPr>
              <w:t>0,120</w:t>
            </w:r>
          </w:p>
        </w:tc>
        <w:tc>
          <w:tcPr>
            <w:tcW w:type="dxa" w:w="1134"/>
            <w:shd w:val="clear" w:fill="F7F8FA"/>
            <w:shd w:val="clear" w:fill="EDF0F5"/>
          </w:tcPr>
          <w:p>
            <w:pPr>
              <w:spacing w:after="20" w:before="20"/>
              <w:jc w:val="center"/>
            </w:pPr>
            <w:r>
              <w:rPr>
                <w:b/>
              </w:rPr>
            </w:r>
            <w:r>
              <w:rPr>
                <w:b/>
                <w:sz w:val="16"/>
              </w:rPr>
              <w:t>6.724</w:t>
            </w:r>
          </w:p>
        </w:tc>
        <w:tc>
          <w:tcPr>
            <w:tcW w:type="dxa" w:w="1247"/>
            <w:shd w:val="clear" w:fill="F7F8FA"/>
            <w:shd w:val="clear" w:fill="EDF0F5"/>
          </w:tcPr>
          <w:p>
            <w:pPr>
              <w:spacing w:after="20" w:before="20"/>
              <w:jc w:val="center"/>
            </w:pPr>
            <w:r>
              <w:rPr>
                <w:b/>
              </w:rPr>
            </w:r>
            <w:r>
              <w:rPr>
                <w:b/>
                <w:sz w:val="16"/>
              </w:rPr>
              <w:t>33,8 %</w:t>
            </w:r>
          </w:p>
        </w:tc>
        <w:tc>
          <w:tcPr>
            <w:tcW w:type="dxa" w:w="964"/>
            <w:shd w:val="clear" w:fill="F7F8FA"/>
            <w:shd w:val="clear" w:fill="EDF0F5"/>
          </w:tcPr>
          <w:p>
            <w:pPr>
              <w:spacing w:after="20" w:before="20"/>
              <w:jc w:val="center"/>
            </w:pPr>
            <w:r>
              <w:rPr>
                <w:b/>
              </w:rPr>
            </w:r>
            <w:r>
              <w:rPr>
                <w:b/>
                <w:sz w:val="16"/>
              </w:rPr>
              <w:t>0,5531</w:t>
            </w:r>
          </w:p>
        </w:tc>
        <w:tc>
          <w:tcPr>
            <w:tcW w:type="dxa" w:w="1077"/>
            <w:shd w:val="clear" w:fill="F7F8FA"/>
            <w:shd w:val="clear" w:fill="EDF0F5"/>
          </w:tcPr>
          <w:p>
            <w:pPr>
              <w:spacing w:after="20" w:before="20"/>
              <w:jc w:val="center"/>
            </w:pPr>
            <w:r>
              <w:rPr>
                <w:b/>
              </w:rPr>
            </w:r>
            <w:r>
              <w:rPr>
                <w:b/>
                <w:sz w:val="16"/>
              </w:rPr>
              <w:t>0,1860</w:t>
            </w:r>
          </w:p>
        </w:tc>
        <w:tc>
          <w:tcPr>
            <w:tcW w:type="dxa" w:w="907"/>
            <w:shd w:val="clear" w:fill="F7F8FA"/>
            <w:shd w:val="clear" w:fill="EDF0F5"/>
          </w:tcPr>
          <w:p>
            <w:pPr>
              <w:spacing w:after="20" w:before="20"/>
              <w:jc w:val="center"/>
            </w:pPr>
            <w:r>
              <w:rPr>
                <w:b/>
              </w:rPr>
            </w:r>
            <w:r>
              <w:rPr>
                <w:b/>
                <w:sz w:val="16"/>
              </w:rPr>
              <w:t>0,2784</w:t>
            </w:r>
          </w:p>
        </w:tc>
        <w:tc>
          <w:tcPr>
            <w:tcW w:type="dxa" w:w="907"/>
            <w:shd w:val="clear" w:fill="F7F8FA"/>
            <w:shd w:val="clear" w:fill="EDF0F5"/>
          </w:tcPr>
          <w:p>
            <w:pPr>
              <w:spacing w:after="20" w:before="20"/>
              <w:jc w:val="center"/>
            </w:pPr>
            <w:r>
              <w:rPr>
                <w:b/>
              </w:rPr>
            </w:r>
            <w:r>
              <w:rPr>
                <w:b/>
                <w:sz w:val="16"/>
              </w:rPr>
              <w:t>1.251</w:t>
            </w:r>
          </w:p>
        </w:tc>
        <w:tc>
          <w:tcPr>
            <w:tcW w:type="dxa" w:w="907"/>
            <w:shd w:val="clear" w:fill="F7F8FA"/>
            <w:shd w:val="clear" w:fill="EDF0F5"/>
          </w:tcPr>
          <w:p>
            <w:pPr>
              <w:spacing w:after="20" w:before="20"/>
              <w:jc w:val="center"/>
            </w:pPr>
            <w:r>
              <w:rPr>
                <w:b/>
              </w:rPr>
            </w:r>
            <w:r>
              <w:rPr>
                <w:b/>
                <w:sz w:val="16"/>
              </w:rPr>
              <w:t>1.011</w:t>
            </w:r>
          </w:p>
        </w:tc>
        <w:tc>
          <w:tcPr>
            <w:tcW w:type="dxa" w:w="1077"/>
            <w:shd w:val="clear" w:fill="F7F8FA"/>
            <w:shd w:val="clear" w:fill="EDF0F5"/>
          </w:tcPr>
          <w:p>
            <w:pPr>
              <w:spacing w:after="20" w:before="20"/>
              <w:jc w:val="center"/>
            </w:pPr>
            <w:r>
              <w:rPr>
                <w:b/>
              </w:rPr>
            </w:r>
            <w:r>
              <w:rPr>
                <w:b/>
                <w:sz w:val="16"/>
              </w:rPr>
              <w:t>5.473</w:t>
            </w:r>
          </w:p>
        </w:tc>
      </w:tr>
      <w:tr>
        <w:tc>
          <w:tcPr>
            <w:tcW w:type="dxa" w:w="1020"/>
          </w:tcPr>
          <w:p>
            <w:pPr>
              <w:spacing w:after="20" w:before="20"/>
              <w:jc w:val="center"/>
            </w:pPr>
            <w:r/>
            <w:r>
              <w:rPr>
                <w:sz w:val="16"/>
              </w:rPr>
              <w:t>0,140</w:t>
            </w:r>
          </w:p>
        </w:tc>
        <w:tc>
          <w:tcPr>
            <w:tcW w:type="dxa" w:w="1134"/>
          </w:tcPr>
          <w:p>
            <w:pPr>
              <w:spacing w:after="20" w:before="20"/>
              <w:jc w:val="center"/>
            </w:pPr>
            <w:r/>
            <w:r>
              <w:rPr>
                <w:sz w:val="16"/>
              </w:rPr>
              <w:t>4.853</w:t>
            </w:r>
          </w:p>
        </w:tc>
        <w:tc>
          <w:tcPr>
            <w:tcW w:type="dxa" w:w="1247"/>
          </w:tcPr>
          <w:p>
            <w:pPr>
              <w:spacing w:after="20" w:before="20"/>
              <w:jc w:val="center"/>
            </w:pPr>
            <w:r/>
            <w:r>
              <w:rPr>
                <w:sz w:val="16"/>
              </w:rPr>
              <w:t>24,4 %</w:t>
            </w:r>
          </w:p>
        </w:tc>
        <w:tc>
          <w:tcPr>
            <w:tcW w:type="dxa" w:w="964"/>
          </w:tcPr>
          <w:p>
            <w:pPr>
              <w:spacing w:after="20" w:before="20"/>
              <w:jc w:val="center"/>
            </w:pPr>
            <w:r/>
            <w:r>
              <w:rPr>
                <w:sz w:val="16"/>
              </w:rPr>
              <w:t>0,4461</w:t>
            </w:r>
          </w:p>
        </w:tc>
        <w:tc>
          <w:tcPr>
            <w:tcW w:type="dxa" w:w="1077"/>
          </w:tcPr>
          <w:p>
            <w:pPr>
              <w:spacing w:after="20" w:before="20"/>
              <w:jc w:val="center"/>
            </w:pPr>
            <w:r/>
            <w:r>
              <w:rPr>
                <w:sz w:val="16"/>
              </w:rPr>
              <w:t>0,2079</w:t>
            </w:r>
          </w:p>
        </w:tc>
        <w:tc>
          <w:tcPr>
            <w:tcW w:type="dxa" w:w="907"/>
          </w:tcPr>
          <w:p>
            <w:pPr>
              <w:spacing w:after="20" w:before="20"/>
              <w:jc w:val="center"/>
            </w:pPr>
            <w:r/>
            <w:r>
              <w:rPr>
                <w:sz w:val="16"/>
              </w:rPr>
              <w:t>0,2836</w:t>
            </w:r>
          </w:p>
        </w:tc>
        <w:tc>
          <w:tcPr>
            <w:tcW w:type="dxa" w:w="907"/>
          </w:tcPr>
          <w:p>
            <w:pPr>
              <w:spacing w:after="20" w:before="20"/>
              <w:jc w:val="center"/>
            </w:pPr>
            <w:r/>
            <w:r>
              <w:rPr>
                <w:sz w:val="16"/>
              </w:rPr>
              <w:t>1.009</w:t>
            </w:r>
          </w:p>
        </w:tc>
        <w:tc>
          <w:tcPr>
            <w:tcW w:type="dxa" w:w="907"/>
          </w:tcPr>
          <w:p>
            <w:pPr>
              <w:spacing w:after="20" w:before="20"/>
              <w:jc w:val="center"/>
            </w:pPr>
            <w:r/>
            <w:r>
              <w:rPr>
                <w:sz w:val="16"/>
              </w:rPr>
              <w:t>1.253</w:t>
            </w:r>
          </w:p>
        </w:tc>
        <w:tc>
          <w:tcPr>
            <w:tcW w:type="dxa" w:w="1077"/>
          </w:tcPr>
          <w:p>
            <w:pPr>
              <w:spacing w:after="20" w:before="20"/>
              <w:jc w:val="center"/>
            </w:pPr>
            <w:r/>
            <w:r>
              <w:rPr>
                <w:sz w:val="16"/>
              </w:rPr>
              <w:t>3.844</w:t>
            </w:r>
          </w:p>
        </w:tc>
      </w:tr>
      <w:tr>
        <w:tc>
          <w:tcPr>
            <w:tcW w:type="dxa" w:w="1020"/>
            <w:shd w:val="clear" w:fill="F7F8FA"/>
          </w:tcPr>
          <w:p>
            <w:pPr>
              <w:spacing w:after="20" w:before="20"/>
              <w:jc w:val="center"/>
            </w:pPr>
            <w:r/>
            <w:r>
              <w:rPr>
                <w:sz w:val="16"/>
              </w:rPr>
              <w:t>0,160</w:t>
            </w:r>
          </w:p>
        </w:tc>
        <w:tc>
          <w:tcPr>
            <w:tcW w:type="dxa" w:w="1134"/>
            <w:shd w:val="clear" w:fill="F7F8FA"/>
          </w:tcPr>
          <w:p>
            <w:pPr>
              <w:spacing w:after="20" w:before="20"/>
              <w:jc w:val="center"/>
            </w:pPr>
            <w:r/>
            <w:r>
              <w:rPr>
                <w:sz w:val="16"/>
              </w:rPr>
              <w:t>3.540</w:t>
            </w:r>
          </w:p>
        </w:tc>
        <w:tc>
          <w:tcPr>
            <w:tcW w:type="dxa" w:w="1247"/>
            <w:shd w:val="clear" w:fill="F7F8FA"/>
          </w:tcPr>
          <w:p>
            <w:pPr>
              <w:spacing w:after="20" w:before="20"/>
              <w:jc w:val="center"/>
            </w:pPr>
            <w:r/>
            <w:r>
              <w:rPr>
                <w:sz w:val="16"/>
              </w:rPr>
              <w:t>17,8 %</w:t>
            </w:r>
          </w:p>
        </w:tc>
        <w:tc>
          <w:tcPr>
            <w:tcW w:type="dxa" w:w="964"/>
            <w:shd w:val="clear" w:fill="F7F8FA"/>
          </w:tcPr>
          <w:p>
            <w:pPr>
              <w:spacing w:after="20" w:before="20"/>
              <w:jc w:val="center"/>
            </w:pPr>
            <w:r/>
            <w:r>
              <w:rPr>
                <w:sz w:val="16"/>
              </w:rPr>
              <w:t>0,3590</w:t>
            </w:r>
          </w:p>
        </w:tc>
        <w:tc>
          <w:tcPr>
            <w:tcW w:type="dxa" w:w="1077"/>
            <w:shd w:val="clear" w:fill="F7F8FA"/>
          </w:tcPr>
          <w:p>
            <w:pPr>
              <w:spacing w:after="20" w:before="20"/>
              <w:jc w:val="center"/>
            </w:pPr>
            <w:r/>
            <w:r>
              <w:rPr>
                <w:sz w:val="16"/>
              </w:rPr>
              <w:t>0,2294</w:t>
            </w:r>
          </w:p>
        </w:tc>
        <w:tc>
          <w:tcPr>
            <w:tcW w:type="dxa" w:w="907"/>
            <w:shd w:val="clear" w:fill="F7F8FA"/>
          </w:tcPr>
          <w:p>
            <w:pPr>
              <w:spacing w:after="20" w:before="20"/>
              <w:jc w:val="center"/>
            </w:pPr>
            <w:r/>
            <w:r>
              <w:rPr>
                <w:sz w:val="16"/>
              </w:rPr>
              <w:t>0,2799</w:t>
            </w:r>
          </w:p>
        </w:tc>
        <w:tc>
          <w:tcPr>
            <w:tcW w:type="dxa" w:w="907"/>
            <w:shd w:val="clear" w:fill="F7F8FA"/>
          </w:tcPr>
          <w:p>
            <w:pPr>
              <w:spacing w:after="20" w:before="20"/>
              <w:jc w:val="center"/>
            </w:pPr>
            <w:r/>
            <w:r>
              <w:rPr>
                <w:sz w:val="16"/>
              </w:rPr>
              <w:t>812</w:t>
            </w:r>
          </w:p>
        </w:tc>
        <w:tc>
          <w:tcPr>
            <w:tcW w:type="dxa" w:w="907"/>
            <w:shd w:val="clear" w:fill="F7F8FA"/>
          </w:tcPr>
          <w:p>
            <w:pPr>
              <w:spacing w:after="20" w:before="20"/>
              <w:jc w:val="center"/>
            </w:pPr>
            <w:r/>
            <w:r>
              <w:rPr>
                <w:sz w:val="16"/>
              </w:rPr>
              <w:t>1.450</w:t>
            </w:r>
          </w:p>
        </w:tc>
        <w:tc>
          <w:tcPr>
            <w:tcW w:type="dxa" w:w="1077"/>
            <w:shd w:val="clear" w:fill="F7F8FA"/>
          </w:tcPr>
          <w:p>
            <w:pPr>
              <w:spacing w:after="20" w:before="20"/>
              <w:jc w:val="center"/>
            </w:pPr>
            <w:r/>
            <w:r>
              <w:rPr>
                <w:sz w:val="16"/>
              </w:rPr>
              <w:t>2.728</w:t>
            </w:r>
          </w:p>
        </w:tc>
      </w:tr>
      <w:tr>
        <w:tc>
          <w:tcPr>
            <w:tcW w:type="dxa" w:w="1020"/>
          </w:tcPr>
          <w:p>
            <w:pPr>
              <w:spacing w:after="20" w:before="20"/>
              <w:jc w:val="center"/>
            </w:pPr>
            <w:r/>
            <w:r>
              <w:rPr>
                <w:sz w:val="16"/>
              </w:rPr>
              <w:t>0,200</w:t>
            </w:r>
          </w:p>
        </w:tc>
        <w:tc>
          <w:tcPr>
            <w:tcW w:type="dxa" w:w="1134"/>
          </w:tcPr>
          <w:p>
            <w:pPr>
              <w:spacing w:after="20" w:before="20"/>
              <w:jc w:val="center"/>
            </w:pPr>
            <w:r/>
            <w:r>
              <w:rPr>
                <w:sz w:val="16"/>
              </w:rPr>
              <w:t>1.845</w:t>
            </w:r>
          </w:p>
        </w:tc>
        <w:tc>
          <w:tcPr>
            <w:tcW w:type="dxa" w:w="1247"/>
          </w:tcPr>
          <w:p>
            <w:pPr>
              <w:spacing w:after="20" w:before="20"/>
              <w:jc w:val="center"/>
            </w:pPr>
            <w:r/>
            <w:r>
              <w:rPr>
                <w:sz w:val="16"/>
              </w:rPr>
              <w:t>9,3 %</w:t>
            </w:r>
          </w:p>
        </w:tc>
        <w:tc>
          <w:tcPr>
            <w:tcW w:type="dxa" w:w="964"/>
          </w:tcPr>
          <w:p>
            <w:pPr>
              <w:spacing w:after="20" w:before="20"/>
              <w:jc w:val="center"/>
            </w:pPr>
            <w:r/>
            <w:r>
              <w:rPr>
                <w:sz w:val="16"/>
              </w:rPr>
              <w:t>0,2272</w:t>
            </w:r>
          </w:p>
        </w:tc>
        <w:tc>
          <w:tcPr>
            <w:tcW w:type="dxa" w:w="1077"/>
          </w:tcPr>
          <w:p>
            <w:pPr>
              <w:spacing w:after="20" w:before="20"/>
              <w:jc w:val="center"/>
            </w:pPr>
            <w:r/>
            <w:r>
              <w:rPr>
                <w:sz w:val="16"/>
              </w:rPr>
              <w:t>0,2786</w:t>
            </w:r>
          </w:p>
        </w:tc>
        <w:tc>
          <w:tcPr>
            <w:tcW w:type="dxa" w:w="907"/>
          </w:tcPr>
          <w:p>
            <w:pPr>
              <w:spacing w:after="20" w:before="20"/>
              <w:jc w:val="center"/>
            </w:pPr>
            <w:r/>
            <w:r>
              <w:rPr>
                <w:sz w:val="16"/>
              </w:rPr>
              <w:t>0,2503</w:t>
            </w:r>
          </w:p>
        </w:tc>
        <w:tc>
          <w:tcPr>
            <w:tcW w:type="dxa" w:w="907"/>
          </w:tcPr>
          <w:p>
            <w:pPr>
              <w:spacing w:after="20" w:before="20"/>
              <w:jc w:val="center"/>
            </w:pPr>
            <w:r/>
            <w:r>
              <w:rPr>
                <w:sz w:val="16"/>
              </w:rPr>
              <w:t>514</w:t>
            </w:r>
          </w:p>
        </w:tc>
        <w:tc>
          <w:tcPr>
            <w:tcW w:type="dxa" w:w="907"/>
          </w:tcPr>
          <w:p>
            <w:pPr>
              <w:spacing w:after="20" w:before="20"/>
              <w:jc w:val="center"/>
            </w:pPr>
            <w:r/>
            <w:r>
              <w:rPr>
                <w:sz w:val="16"/>
              </w:rPr>
              <w:t>1.748</w:t>
            </w:r>
          </w:p>
        </w:tc>
        <w:tc>
          <w:tcPr>
            <w:tcW w:type="dxa" w:w="1077"/>
          </w:tcPr>
          <w:p>
            <w:pPr>
              <w:spacing w:after="20" w:before="20"/>
              <w:jc w:val="center"/>
            </w:pPr>
            <w:r/>
            <w:r>
              <w:rPr>
                <w:sz w:val="16"/>
              </w:rPr>
              <w:t>1.331</w:t>
            </w:r>
          </w:p>
        </w:tc>
      </w:tr>
      <w:tr>
        <w:tc>
          <w:tcPr>
            <w:tcW w:type="dxa" w:w="1020"/>
            <w:shd w:val="clear" w:fill="F7F8FA"/>
          </w:tcPr>
          <w:p>
            <w:pPr>
              <w:spacing w:after="20" w:before="20"/>
              <w:jc w:val="center"/>
            </w:pPr>
            <w:r/>
            <w:r>
              <w:rPr>
                <w:sz w:val="16"/>
              </w:rPr>
              <w:t>0,300</w:t>
            </w:r>
          </w:p>
        </w:tc>
        <w:tc>
          <w:tcPr>
            <w:tcW w:type="dxa" w:w="1134"/>
            <w:shd w:val="clear" w:fill="F7F8FA"/>
          </w:tcPr>
          <w:p>
            <w:pPr>
              <w:spacing w:after="20" w:before="20"/>
              <w:jc w:val="center"/>
            </w:pPr>
            <w:r/>
            <w:r>
              <w:rPr>
                <w:sz w:val="16"/>
              </w:rPr>
              <w:t>536</w:t>
            </w:r>
          </w:p>
        </w:tc>
        <w:tc>
          <w:tcPr>
            <w:tcW w:type="dxa" w:w="1247"/>
            <w:shd w:val="clear" w:fill="F7F8FA"/>
          </w:tcPr>
          <w:p>
            <w:pPr>
              <w:spacing w:after="20" w:before="20"/>
              <w:jc w:val="center"/>
            </w:pPr>
            <w:r/>
            <w:r>
              <w:rPr>
                <w:sz w:val="16"/>
              </w:rPr>
              <w:t>2,7 %</w:t>
            </w:r>
          </w:p>
        </w:tc>
        <w:tc>
          <w:tcPr>
            <w:tcW w:type="dxa" w:w="964"/>
            <w:shd w:val="clear" w:fill="F7F8FA"/>
          </w:tcPr>
          <w:p>
            <w:pPr>
              <w:spacing w:after="20" w:before="20"/>
              <w:jc w:val="center"/>
            </w:pPr>
            <w:r/>
            <w:r>
              <w:rPr>
                <w:sz w:val="16"/>
              </w:rPr>
              <w:t>0,0893</w:t>
            </w:r>
          </w:p>
        </w:tc>
        <w:tc>
          <w:tcPr>
            <w:tcW w:type="dxa" w:w="1077"/>
            <w:shd w:val="clear" w:fill="F7F8FA"/>
          </w:tcPr>
          <w:p>
            <w:pPr>
              <w:spacing w:after="20" w:before="20"/>
              <w:jc w:val="center"/>
            </w:pPr>
            <w:r/>
            <w:r>
              <w:rPr>
                <w:sz w:val="16"/>
              </w:rPr>
              <w:t>0,3769</w:t>
            </w:r>
          </w:p>
        </w:tc>
        <w:tc>
          <w:tcPr>
            <w:tcW w:type="dxa" w:w="907"/>
            <w:shd w:val="clear" w:fill="F7F8FA"/>
          </w:tcPr>
          <w:p>
            <w:pPr>
              <w:spacing w:after="20" w:before="20"/>
              <w:jc w:val="center"/>
            </w:pPr>
            <w:r/>
            <w:r>
              <w:rPr>
                <w:sz w:val="16"/>
              </w:rPr>
              <w:t>0,1444</w:t>
            </w:r>
          </w:p>
        </w:tc>
        <w:tc>
          <w:tcPr>
            <w:tcW w:type="dxa" w:w="907"/>
            <w:shd w:val="clear" w:fill="F7F8FA"/>
          </w:tcPr>
          <w:p>
            <w:pPr>
              <w:spacing w:after="20" w:before="20"/>
              <w:jc w:val="center"/>
            </w:pPr>
            <w:r/>
            <w:r>
              <w:rPr>
                <w:sz w:val="16"/>
              </w:rPr>
              <w:t>202</w:t>
            </w:r>
          </w:p>
        </w:tc>
        <w:tc>
          <w:tcPr>
            <w:tcW w:type="dxa" w:w="907"/>
            <w:shd w:val="clear" w:fill="F7F8FA"/>
          </w:tcPr>
          <w:p>
            <w:pPr>
              <w:spacing w:after="20" w:before="20"/>
              <w:jc w:val="center"/>
            </w:pPr>
            <w:r/>
            <w:r>
              <w:rPr>
                <w:sz w:val="16"/>
              </w:rPr>
              <w:t>2.060</w:t>
            </w:r>
          </w:p>
        </w:tc>
        <w:tc>
          <w:tcPr>
            <w:tcW w:type="dxa" w:w="1077"/>
            <w:shd w:val="clear" w:fill="F7F8FA"/>
          </w:tcPr>
          <w:p>
            <w:pPr>
              <w:spacing w:after="20" w:before="20"/>
              <w:jc w:val="center"/>
            </w:pPr>
            <w:r/>
            <w:r>
              <w:rPr>
                <w:sz w:val="16"/>
              </w:rPr>
              <w:t>334</w:t>
            </w:r>
          </w:p>
        </w:tc>
      </w:tr>
      <w:tr>
        <w:tc>
          <w:tcPr>
            <w:tcW w:type="dxa" w:w="1020"/>
          </w:tcPr>
          <w:p>
            <w:pPr>
              <w:spacing w:after="20" w:before="20"/>
              <w:jc w:val="center"/>
            </w:pPr>
            <w:r/>
            <w:r>
              <w:rPr>
                <w:sz w:val="16"/>
              </w:rPr>
              <w:t>0,500</w:t>
            </w:r>
          </w:p>
        </w:tc>
        <w:tc>
          <w:tcPr>
            <w:tcW w:type="dxa" w:w="1134"/>
          </w:tcPr>
          <w:p>
            <w:pPr>
              <w:spacing w:after="20" w:before="20"/>
              <w:jc w:val="center"/>
            </w:pPr>
            <w:r/>
            <w:r>
              <w:rPr>
                <w:sz w:val="16"/>
              </w:rPr>
              <w:t>23</w:t>
            </w:r>
          </w:p>
        </w:tc>
        <w:tc>
          <w:tcPr>
            <w:tcW w:type="dxa" w:w="1247"/>
          </w:tcPr>
          <w:p>
            <w:pPr>
              <w:spacing w:after="20" w:before="20"/>
              <w:jc w:val="center"/>
            </w:pPr>
            <w:r/>
            <w:r>
              <w:rPr>
                <w:sz w:val="16"/>
              </w:rPr>
              <w:t>0,1 %</w:t>
            </w:r>
          </w:p>
        </w:tc>
        <w:tc>
          <w:tcPr>
            <w:tcW w:type="dxa" w:w="964"/>
          </w:tcPr>
          <w:p>
            <w:pPr>
              <w:spacing w:after="20" w:before="20"/>
              <w:jc w:val="center"/>
            </w:pPr>
            <w:r/>
            <w:r>
              <w:rPr>
                <w:sz w:val="16"/>
              </w:rPr>
              <w:t>0,0057</w:t>
            </w:r>
          </w:p>
        </w:tc>
        <w:tc>
          <w:tcPr>
            <w:tcW w:type="dxa" w:w="1077"/>
          </w:tcPr>
          <w:p>
            <w:pPr>
              <w:spacing w:after="20" w:before="20"/>
              <w:jc w:val="center"/>
            </w:pPr>
            <w:r/>
            <w:r>
              <w:rPr>
                <w:sz w:val="16"/>
              </w:rPr>
              <w:t>0,5652</w:t>
            </w:r>
          </w:p>
        </w:tc>
        <w:tc>
          <w:tcPr>
            <w:tcW w:type="dxa" w:w="907"/>
          </w:tcPr>
          <w:p>
            <w:pPr>
              <w:spacing w:after="20" w:before="20"/>
              <w:jc w:val="center"/>
            </w:pPr>
            <w:r/>
            <w:r>
              <w:rPr>
                <w:sz w:val="16"/>
              </w:rPr>
              <w:t>0,0114</w:t>
            </w:r>
          </w:p>
        </w:tc>
        <w:tc>
          <w:tcPr>
            <w:tcW w:type="dxa" w:w="907"/>
          </w:tcPr>
          <w:p>
            <w:pPr>
              <w:spacing w:after="20" w:before="20"/>
              <w:jc w:val="center"/>
            </w:pPr>
            <w:r/>
            <w:r>
              <w:rPr>
                <w:sz w:val="16"/>
              </w:rPr>
              <w:t>13</w:t>
            </w:r>
          </w:p>
        </w:tc>
        <w:tc>
          <w:tcPr>
            <w:tcW w:type="dxa" w:w="907"/>
          </w:tcPr>
          <w:p>
            <w:pPr>
              <w:spacing w:after="20" w:before="20"/>
              <w:jc w:val="center"/>
            </w:pPr>
            <w:r/>
            <w:r>
              <w:rPr>
                <w:sz w:val="16"/>
              </w:rPr>
              <w:t>2.249</w:t>
            </w:r>
          </w:p>
        </w:tc>
        <w:tc>
          <w:tcPr>
            <w:tcW w:type="dxa" w:w="1077"/>
          </w:tcPr>
          <w:p>
            <w:pPr>
              <w:spacing w:after="20" w:before="20"/>
              <w:jc w:val="center"/>
            </w:pPr>
            <w:r/>
            <w:r>
              <w:rPr>
                <w:sz w:val="16"/>
              </w:rPr>
              <w:t>10</w:t>
            </w:r>
          </w:p>
        </w:tc>
      </w:tr>
    </w:tbl>
    <w:p>
      <w:pPr>
        <w:spacing w:after="0"/>
      </w:pPr>
    </w:p>
    <w:p>
      <w:r>
        <w:t xml:space="preserve">La tabla hace visible el costo de cada elección. El umbral 0,50 detecta trece reingresos de 2.262: el modelo es inservible en ese punto. En el extremo opuesto, 0,06 detecta el 91,6 % de los reingresos pero alerta sobre el 81,6 % de la población, lo que equivale a no priorizar nada. Se seleccionó el umbral </w:t>
      </w:r>
      <w:r>
        <w:rPr>
          <w:b/>
        </w:rPr>
        <w:t>0,1123</w:t>
      </w:r>
      <w:r>
        <w:t>, el menor que alcanza una sensibilidad de 0,60 en validación, siguiendo el criterio de la Fase 1 de priorizar la detección de positivos: en el seguimiento tras el egreso, un reingreso no anticipado cuesta más que una llamada de control innecesaria. Con ese umbral se generan alertas sobre el 38,6 % de las hospitalizaciones.</w:t>
      </w:r>
    </w:p>
    <w:p>
      <w:pPr>
        <w:spacing w:before="120" w:after="160"/>
        <w:ind w:left="227"/>
        <w:jc w:val="both"/>
        <w:pBdr>
          <w:left w:val="single" w:sz="18" w:space="8" w:color="1F3B63"/>
        </w:pBdr>
      </w:pPr>
      <w:r>
        <w:rPr>
          <w:sz w:val="20"/>
        </w:rPr>
        <w:t xml:space="preserve">Resultado negativo documentado. </w:t>
      </w:r>
      <w:r>
        <w:rPr>
          <w:b/>
          <w:sz w:val="20"/>
        </w:rPr>
        <w:t>Ningún umbral satisface simultáneamente sensibilidad ≥ 0,60 y precisión ≥ 0,20.</w:t>
      </w:r>
      <w:r>
        <w:rPr>
          <w:sz w:val="20"/>
        </w:rPr>
        <w:t xml:space="preserve"> Se recorrió la curva precisión–sensibilidad completa: con sensibilidad 0,60 la precisión cae a 0,177; exigiendo precisión 0,20 la sensibilidad máxima alcanzable es 0,481. Las dos metas son incompatibles con estos datos y este modelo. Conforme a lo establecido en la Fase 1 —«si los datos no permiten alcanzarlas, se documentarán las causas y el desempeño observado; no se alterará el conjunto de prueba para mejorar artificialmente los indicadores»— se informa la incompatibilidad y se prioriza la sensibilidad, sin repetir la búsqueda sobre el conjunto de prueba hasta encontrar un resultado favorable.</w:t>
      </w:r>
    </w:p>
    <w:p>
      <w:r>
        <w:t>La causa es la prevalencia: con 11,39 % de positivos, capturar seis de cada diez reingresos obliga a marcar casi cuatro de cada diez hospitalizaciones, y la mayoría no reingresará. Una precisión de 0,1771 significa que entre cada seis alertas hay un reingreso real, 1,56 veces la tasa base. Es una mejora real sobre marcar al azar, pero lejos de una identificación precisa.</w:t>
      </w:r>
    </w:p>
    <w:p>
      <w:pPr>
        <w:keepNext/>
        <w:spacing w:before="220" w:after="100"/>
        <w:jc w:val="left"/>
        <w:pBdr>
          <w:bottom w:val="single" w:sz="6" w:space="3" w:color="C5CEDC"/>
        </w:pBdr>
      </w:pPr>
      <w:r>
        <w:rPr>
          <w:b/>
          <w:color w:val="1F3B63"/>
          <w:sz w:val="26"/>
        </w:rPr>
        <w:t>9.  Calibración de las probabilidades</w:t>
      </w:r>
    </w:p>
    <w:p>
      <w:r>
        <w:t xml:space="preserve">Discriminar y calibrar son propiedades distintas. </w:t>
      </w:r>
      <w:r>
        <w:rPr>
          <w:b/>
        </w:rPr>
        <w:t>Discriminación</w:t>
      </w:r>
      <w:r>
        <w:t xml:space="preserve"> es la capacidad de ordenar los casos por riesgo; la miden la AP y el ROC-AUC. </w:t>
      </w:r>
      <w:r>
        <w:rPr>
          <w:b/>
        </w:rPr>
        <w:t>Calibración</w:t>
      </w:r>
      <w:r>
        <w:t xml:space="preserve"> es que el número signifique lo que dice: que entre los casos a los que el modelo asigna 0,20 reingrese cerca del 20 %. Un modelo puede ordenar bien y estar descalibrado, y el tablero de la Fase 3 mostrará probabilidades, de modo que esta propiedad es necesaria.</w:t>
      </w:r>
    </w:p>
    <w:p>
      <w:pPr>
        <w:keepNext/>
        <w:spacing w:before="80" w:after="160"/>
        <w:jc w:val="center"/>
      </w:pPr>
      <w:r>
        <w:rPr>
          <w:b/>
          <w:color w:val="555A62"/>
          <w:sz w:val="17"/>
        </w:rPr>
        <w:t>Tabla 13.</w:t>
      </w:r>
      <w:r>
        <w:rPr>
          <w:color w:val="555A62"/>
          <w:sz w:val="17"/>
        </w:rPr>
        <w:t xml:space="preserve"> Curva de calibración en validación. Se muestran cinco de los diez grupos de igual tamaño.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3061"/>
            <w:shd w:val="clear" w:fill="1F3B63"/>
          </w:tcPr>
          <w:p>
            <w:pPr>
              <w:spacing w:after="20" w:before="20"/>
              <w:jc w:val="center"/>
            </w:pPr>
            <w:r/>
            <w:r>
              <w:rPr>
                <w:b/>
                <w:color w:val="FFFFFF"/>
                <w:sz w:val="17"/>
              </w:rPr>
              <w:t>Probabilidad media predicha</w:t>
            </w:r>
          </w:p>
        </w:tc>
        <w:tc>
          <w:tcPr>
            <w:tcW w:type="dxa" w:w="2608"/>
            <w:shd w:val="clear" w:fill="1F3B63"/>
          </w:tcPr>
          <w:p>
            <w:pPr>
              <w:spacing w:after="20" w:before="20"/>
              <w:jc w:val="center"/>
            </w:pPr>
            <w:r/>
            <w:r>
              <w:rPr>
                <w:b/>
                <w:color w:val="FFFFFF"/>
                <w:sz w:val="17"/>
              </w:rPr>
              <w:t>Frecuencia observada</w:t>
            </w:r>
          </w:p>
        </w:tc>
        <w:tc>
          <w:tcPr>
            <w:tcW w:type="dxa" w:w="1814"/>
            <w:shd w:val="clear" w:fill="1F3B63"/>
          </w:tcPr>
          <w:p>
            <w:pPr>
              <w:spacing w:after="20" w:before="20"/>
              <w:jc w:val="center"/>
            </w:pPr>
            <w:r/>
            <w:r>
              <w:rPr>
                <w:b/>
                <w:color w:val="FFFFFF"/>
                <w:sz w:val="17"/>
              </w:rPr>
              <w:t>Diferencia</w:t>
            </w:r>
          </w:p>
        </w:tc>
      </w:tr>
      <w:tr>
        <w:tc>
          <w:tcPr>
            <w:tcW w:type="dxa" w:w="3061"/>
          </w:tcPr>
          <w:p>
            <w:pPr>
              <w:spacing w:after="20" w:before="20"/>
              <w:jc w:val="center"/>
            </w:pPr>
            <w:r/>
            <w:r>
              <w:rPr>
                <w:sz w:val="17"/>
              </w:rPr>
              <w:t>0,0419</w:t>
            </w:r>
          </w:p>
        </w:tc>
        <w:tc>
          <w:tcPr>
            <w:tcW w:type="dxa" w:w="2608"/>
          </w:tcPr>
          <w:p>
            <w:pPr>
              <w:spacing w:after="20" w:before="20"/>
              <w:jc w:val="center"/>
            </w:pPr>
            <w:r/>
            <w:r>
              <w:rPr>
                <w:sz w:val="17"/>
              </w:rPr>
              <w:t>0,0458</w:t>
            </w:r>
          </w:p>
        </w:tc>
        <w:tc>
          <w:tcPr>
            <w:tcW w:type="dxa" w:w="1814"/>
          </w:tcPr>
          <w:p>
            <w:pPr>
              <w:spacing w:after="20" w:before="20"/>
              <w:jc w:val="center"/>
            </w:pPr>
            <w:r/>
            <w:r>
              <w:rPr>
                <w:sz w:val="17"/>
              </w:rPr>
              <w:t>−0,0039</w:t>
            </w:r>
          </w:p>
        </w:tc>
      </w:tr>
      <w:tr>
        <w:tc>
          <w:tcPr>
            <w:tcW w:type="dxa" w:w="3061"/>
            <w:shd w:val="clear" w:fill="F7F8FA"/>
          </w:tcPr>
          <w:p>
            <w:pPr>
              <w:spacing w:after="20" w:before="20"/>
              <w:jc w:val="center"/>
            </w:pPr>
            <w:r/>
            <w:r>
              <w:rPr>
                <w:sz w:val="17"/>
              </w:rPr>
              <w:t>0,0768</w:t>
            </w:r>
          </w:p>
        </w:tc>
        <w:tc>
          <w:tcPr>
            <w:tcW w:type="dxa" w:w="2608"/>
            <w:shd w:val="clear" w:fill="F7F8FA"/>
          </w:tcPr>
          <w:p>
            <w:pPr>
              <w:spacing w:after="20" w:before="20"/>
              <w:jc w:val="center"/>
            </w:pPr>
            <w:r/>
            <w:r>
              <w:rPr>
                <w:sz w:val="17"/>
              </w:rPr>
              <w:t>0,0770</w:t>
            </w:r>
          </w:p>
        </w:tc>
        <w:tc>
          <w:tcPr>
            <w:tcW w:type="dxa" w:w="1814"/>
            <w:shd w:val="clear" w:fill="F7F8FA"/>
          </w:tcPr>
          <w:p>
            <w:pPr>
              <w:spacing w:after="20" w:before="20"/>
              <w:jc w:val="center"/>
            </w:pPr>
            <w:r/>
            <w:r>
              <w:rPr>
                <w:sz w:val="17"/>
              </w:rPr>
              <w:t>−0,0002</w:t>
            </w:r>
          </w:p>
        </w:tc>
      </w:tr>
      <w:tr>
        <w:tc>
          <w:tcPr>
            <w:tcW w:type="dxa" w:w="3061"/>
          </w:tcPr>
          <w:p>
            <w:pPr>
              <w:spacing w:after="20" w:before="20"/>
              <w:jc w:val="center"/>
            </w:pPr>
            <w:r/>
            <w:r>
              <w:rPr>
                <w:sz w:val="17"/>
              </w:rPr>
              <w:t>0,1031</w:t>
            </w:r>
          </w:p>
        </w:tc>
        <w:tc>
          <w:tcPr>
            <w:tcW w:type="dxa" w:w="2608"/>
          </w:tcPr>
          <w:p>
            <w:pPr>
              <w:spacing w:after="20" w:before="20"/>
              <w:jc w:val="center"/>
            </w:pPr>
            <w:r/>
            <w:r>
              <w:rPr>
                <w:sz w:val="17"/>
              </w:rPr>
              <w:t>0,0981</w:t>
            </w:r>
          </w:p>
        </w:tc>
        <w:tc>
          <w:tcPr>
            <w:tcW w:type="dxa" w:w="1814"/>
          </w:tcPr>
          <w:p>
            <w:pPr>
              <w:spacing w:after="20" w:before="20"/>
              <w:jc w:val="center"/>
            </w:pPr>
            <w:r/>
            <w:r>
              <w:rPr>
                <w:sz w:val="17"/>
              </w:rPr>
              <w:t>+0,0050</w:t>
            </w:r>
          </w:p>
        </w:tc>
      </w:tr>
      <w:tr>
        <w:tc>
          <w:tcPr>
            <w:tcW w:type="dxa" w:w="3061"/>
            <w:shd w:val="clear" w:fill="F7F8FA"/>
          </w:tcPr>
          <w:p>
            <w:pPr>
              <w:spacing w:after="20" w:before="20"/>
              <w:jc w:val="center"/>
            </w:pPr>
            <w:r/>
            <w:r>
              <w:rPr>
                <w:sz w:val="17"/>
              </w:rPr>
              <w:t>0,1388</w:t>
            </w:r>
          </w:p>
        </w:tc>
        <w:tc>
          <w:tcPr>
            <w:tcW w:type="dxa" w:w="2608"/>
            <w:shd w:val="clear" w:fill="F7F8FA"/>
          </w:tcPr>
          <w:p>
            <w:pPr>
              <w:spacing w:after="20" w:before="20"/>
              <w:jc w:val="center"/>
            </w:pPr>
            <w:r/>
            <w:r>
              <w:rPr>
                <w:sz w:val="17"/>
              </w:rPr>
              <w:t>0,1298</w:t>
            </w:r>
          </w:p>
        </w:tc>
        <w:tc>
          <w:tcPr>
            <w:tcW w:type="dxa" w:w="1814"/>
            <w:shd w:val="clear" w:fill="F7F8FA"/>
          </w:tcPr>
          <w:p>
            <w:pPr>
              <w:spacing w:after="20" w:before="20"/>
              <w:jc w:val="center"/>
            </w:pPr>
            <w:r/>
            <w:r>
              <w:rPr>
                <w:sz w:val="17"/>
              </w:rPr>
              <w:t>+0,0089</w:t>
            </w:r>
          </w:p>
        </w:tc>
      </w:tr>
      <w:tr>
        <w:tc>
          <w:tcPr>
            <w:tcW w:type="dxa" w:w="3061"/>
          </w:tcPr>
          <w:p>
            <w:pPr>
              <w:spacing w:after="20" w:before="20"/>
              <w:jc w:val="center"/>
            </w:pPr>
            <w:r/>
            <w:r>
              <w:rPr>
                <w:sz w:val="17"/>
              </w:rPr>
              <w:t>0,2696</w:t>
            </w:r>
          </w:p>
        </w:tc>
        <w:tc>
          <w:tcPr>
            <w:tcW w:type="dxa" w:w="2608"/>
          </w:tcPr>
          <w:p>
            <w:pPr>
              <w:spacing w:after="20" w:before="20"/>
              <w:jc w:val="center"/>
            </w:pPr>
            <w:r/>
            <w:r>
              <w:rPr>
                <w:sz w:val="17"/>
              </w:rPr>
              <w:t>0,2738</w:t>
            </w:r>
          </w:p>
        </w:tc>
        <w:tc>
          <w:tcPr>
            <w:tcW w:type="dxa" w:w="1814"/>
          </w:tcPr>
          <w:p>
            <w:pPr>
              <w:spacing w:after="20" w:before="20"/>
              <w:jc w:val="center"/>
            </w:pPr>
            <w:r/>
            <w:r>
              <w:rPr>
                <w:sz w:val="17"/>
              </w:rPr>
              <w:t>−0,0042</w:t>
            </w:r>
          </w:p>
        </w:tc>
      </w:tr>
    </w:tbl>
    <w:p>
      <w:pPr>
        <w:spacing w:after="0"/>
      </w:pPr>
    </w:p>
    <w:p>
      <w:r>
        <w:t xml:space="preserve">En ninguno de los diez grupos la diferencia supera 0,009. La puntuación de </w:t>
      </w:r>
      <w:r>
        <w:rPr>
          <w:b/>
        </w:rPr>
        <w:t>Brier</w:t>
      </w:r>
      <w:r>
        <w:t xml:space="preserve"> —el error cuadrático medio de las probabilidades— es </w:t>
      </w:r>
      <w:r>
        <w:rPr>
          <w:b/>
        </w:rPr>
        <w:t>0,09627</w:t>
      </w:r>
      <w:r>
        <w:t>, frente a 0,10089 de un modelo que anunciara siempre la prevalencia: una reducción del 4,6 %. En términos prácticos, cuando el modelo estima un 10 % de riesgo reingresa el 9,81 % de esos casos, y cuando estima un 27 % reingresa el 27,38 %. Las probabilidades, por tanto, pueden presentarse como tales en el tablero: no hizo falta una recalibración posterior, coherente con el entrenamiento de Gradient Boosting sobre una función de pérdida logarítmica.</w:t>
      </w:r>
    </w:p>
    <w:p>
      <w:pPr>
        <w:keepNext/>
        <w:spacing w:before="160" w:after="40"/>
        <w:jc w:val="center"/>
      </w:pPr>
      <w:r>
        <w:drawing>
          <wp:inline xmlns:a="http://schemas.openxmlformats.org/drawingml/2006/main" xmlns:pic="http://schemas.openxmlformats.org/drawingml/2006/picture">
            <wp:extent cx="3780000" cy="1431818"/>
            <wp:docPr id="2" name="Picture 2"/>
            <wp:cNvGraphicFramePr>
              <a:graphicFrameLocks noChangeAspect="1"/>
            </wp:cNvGraphicFramePr>
            <a:graphic>
              <a:graphicData uri="http://schemas.openxmlformats.org/drawingml/2006/picture">
                <pic:pic>
                  <pic:nvPicPr>
                    <pic:cNvPr id="0" name="04_calibracion.png"/>
                    <pic:cNvPicPr/>
                  </pic:nvPicPr>
                  <pic:blipFill>
                    <a:blip r:embed="rId11"/>
                    <a:stretch>
                      <a:fillRect/>
                    </a:stretch>
                  </pic:blipFill>
                  <pic:spPr>
                    <a:xfrm>
                      <a:off x="0" y="0"/>
                      <a:ext cx="3780000" cy="1431818"/>
                    </a:xfrm>
                    <a:prstGeom prst="rect"/>
                  </pic:spPr>
                </pic:pic>
              </a:graphicData>
            </a:graphic>
          </wp:inline>
        </w:drawing>
      </w:r>
    </w:p>
    <w:p>
      <w:pPr>
        <w:keepNext w:val="0"/>
        <w:spacing w:before="40" w:after="80"/>
        <w:jc w:val="center"/>
      </w:pPr>
      <w:r>
        <w:rPr>
          <w:b/>
          <w:color w:val="555A62"/>
          <w:sz w:val="17"/>
        </w:rPr>
        <w:t>Figura 2.</w:t>
      </w:r>
      <w:r>
        <w:rPr>
          <w:color w:val="555A62"/>
          <w:sz w:val="17"/>
        </w:rPr>
        <w:t xml:space="preserve"> Curva de calibración y distribución de las probabilidades estimadas en validación. La diagonal representa la calibración perfecta.</w:t>
      </w:r>
    </w:p>
    <w:p>
      <w:pPr>
        <w:keepNext/>
        <w:spacing w:before="220" w:after="100"/>
        <w:jc w:val="left"/>
        <w:pBdr>
          <w:bottom w:val="single" w:sz="6" w:space="3" w:color="C5CEDC"/>
        </w:pBdr>
      </w:pPr>
      <w:r>
        <w:rPr>
          <w:b/>
          <w:color w:val="1F3B63"/>
          <w:sz w:val="26"/>
        </w:rPr>
        <w:t>10.  Evaluación final sobre el conjunto de prueba</w:t>
      </w:r>
    </w:p>
    <w:p>
      <w:r>
        <w:t xml:space="preserve">El conjunto de prueba se evaluó </w:t>
      </w:r>
      <w:r>
        <w:rPr>
          <w:b/>
        </w:rPr>
        <w:t>una sola vez</w:t>
      </w:r>
      <w:r>
        <w:t>, con el modelo, el preprocesamiento y el umbral ya fijados. No se ajustó nada después de observar estos resultados; de haberlo hecho, el conjunto habría dejado de ser una medición independiente.</w:t>
      </w:r>
    </w:p>
    <w:p>
      <w:pPr>
        <w:keepNext/>
        <w:spacing w:before="80" w:after="160"/>
        <w:jc w:val="center"/>
      </w:pPr>
      <w:r>
        <w:rPr>
          <w:b/>
          <w:color w:val="555A62"/>
          <w:sz w:val="17"/>
        </w:rPr>
        <w:t>Tabla 14.</w:t>
      </w:r>
      <w:r>
        <w:rPr>
          <w:color w:val="555A62"/>
          <w:sz w:val="17"/>
        </w:rPr>
        <w:t xml:space="preserve"> Desempeño en validación y en prueba con el umbral 0,1123.</w:t>
      </w:r>
    </w:p>
    <w:tbl>
      <w:tblPr>
        <w:tblStyle w:val="TableGrid"/>
        <w:tblW w:type="auto" w:w="0"/>
        <w:jc w:val="center"/>
        <w:tblLook w:firstColumn="1" w:firstRow="1" w:lastColumn="0" w:lastRow="0" w:noHBand="0" w:noVBand="1" w:val="04A0"/>
      </w:tblPr>
      <w:tblGrid>
        <w:gridCol w:w="812"/>
        <w:gridCol w:w="812"/>
        <w:gridCol w:w="812"/>
        <w:gridCol w:w="812"/>
        <w:gridCol w:w="812"/>
        <w:gridCol w:w="812"/>
        <w:gridCol w:w="812"/>
        <w:gridCol w:w="812"/>
        <w:gridCol w:w="812"/>
        <w:gridCol w:w="812"/>
        <w:gridCol w:w="812"/>
        <w:gridCol w:w="812"/>
      </w:tblGrid>
      <w:tr>
        <w:trPr>
          <w:tblHeader w:val="true"/>
        </w:trPr>
        <w:tc>
          <w:tcPr>
            <w:tcW w:type="dxa" w:w="1247"/>
            <w:shd w:val="clear" w:fill="1F3B63"/>
          </w:tcPr>
          <w:p>
            <w:pPr>
              <w:spacing w:after="20" w:before="20"/>
              <w:jc w:val="center"/>
            </w:pPr>
            <w:r/>
            <w:r>
              <w:rPr>
                <w:b/>
                <w:color w:val="FFFFFF"/>
                <w:sz w:val="15"/>
              </w:rPr>
              <w:t>Conjunto</w:t>
            </w:r>
          </w:p>
        </w:tc>
        <w:tc>
          <w:tcPr>
            <w:tcW w:type="dxa" w:w="794"/>
            <w:shd w:val="clear" w:fill="1F3B63"/>
          </w:tcPr>
          <w:p>
            <w:pPr>
              <w:spacing w:after="20" w:before="20"/>
              <w:jc w:val="center"/>
            </w:pPr>
            <w:r/>
            <w:r>
              <w:rPr>
                <w:b/>
                <w:color w:val="FFFFFF"/>
                <w:sz w:val="15"/>
              </w:rPr>
              <w:t>AP</w:t>
            </w:r>
          </w:p>
        </w:tc>
        <w:tc>
          <w:tcPr>
            <w:tcW w:type="dxa" w:w="850"/>
            <w:shd w:val="clear" w:fill="1F3B63"/>
          </w:tcPr>
          <w:p>
            <w:pPr>
              <w:spacing w:after="20" w:before="20"/>
              <w:jc w:val="center"/>
            </w:pPr>
            <w:r/>
            <w:r>
              <w:rPr>
                <w:b/>
                <w:color w:val="FFFFFF"/>
                <w:sz w:val="15"/>
              </w:rPr>
              <w:t>ROC-AUC</w:t>
            </w:r>
          </w:p>
        </w:tc>
        <w:tc>
          <w:tcPr>
            <w:tcW w:type="dxa" w:w="794"/>
            <w:shd w:val="clear" w:fill="1F3B63"/>
          </w:tcPr>
          <w:p>
            <w:pPr>
              <w:spacing w:after="20" w:before="20"/>
              <w:jc w:val="center"/>
            </w:pPr>
            <w:r/>
            <w:r>
              <w:rPr>
                <w:b/>
                <w:color w:val="FFFFFF"/>
                <w:sz w:val="15"/>
              </w:rPr>
              <w:t>Recall</w:t>
            </w:r>
          </w:p>
        </w:tc>
        <w:tc>
          <w:tcPr>
            <w:tcW w:type="dxa" w:w="850"/>
            <w:shd w:val="clear" w:fill="1F3B63"/>
          </w:tcPr>
          <w:p>
            <w:pPr>
              <w:spacing w:after="20" w:before="20"/>
              <w:jc w:val="center"/>
            </w:pPr>
            <w:r/>
            <w:r>
              <w:rPr>
                <w:b/>
                <w:color w:val="FFFFFF"/>
                <w:sz w:val="15"/>
              </w:rPr>
              <w:t>Precisión</w:t>
            </w:r>
          </w:p>
        </w:tc>
        <w:tc>
          <w:tcPr>
            <w:tcW w:type="dxa" w:w="737"/>
            <w:shd w:val="clear" w:fill="1F3B63"/>
          </w:tcPr>
          <w:p>
            <w:pPr>
              <w:spacing w:after="20" w:before="20"/>
              <w:jc w:val="center"/>
            </w:pPr>
            <w:r/>
            <w:r>
              <w:rPr>
                <w:b/>
                <w:color w:val="FFFFFF"/>
                <w:sz w:val="15"/>
              </w:rPr>
              <w:t>F1</w:t>
            </w:r>
          </w:p>
        </w:tc>
        <w:tc>
          <w:tcPr>
            <w:tcW w:type="dxa" w:w="850"/>
            <w:shd w:val="clear" w:fill="1F3B63"/>
          </w:tcPr>
          <w:p>
            <w:pPr>
              <w:spacing w:after="20" w:before="20"/>
              <w:jc w:val="center"/>
            </w:pPr>
            <w:r/>
            <w:r>
              <w:rPr>
                <w:b/>
                <w:color w:val="FFFFFF"/>
                <w:sz w:val="15"/>
              </w:rPr>
              <w:t>Exactitud</w:t>
            </w:r>
          </w:p>
        </w:tc>
        <w:tc>
          <w:tcPr>
            <w:tcW w:type="dxa" w:w="737"/>
            <w:shd w:val="clear" w:fill="1F3B63"/>
          </w:tcPr>
          <w:p>
            <w:pPr>
              <w:spacing w:after="20" w:before="20"/>
              <w:jc w:val="center"/>
            </w:pPr>
            <w:r/>
            <w:r>
              <w:rPr>
                <w:b/>
                <w:color w:val="FFFFFF"/>
                <w:sz w:val="15"/>
              </w:rPr>
              <w:t>Brier</w:t>
            </w:r>
          </w:p>
        </w:tc>
        <w:tc>
          <w:tcPr>
            <w:tcW w:type="dxa" w:w="624"/>
            <w:shd w:val="clear" w:fill="1F3B63"/>
          </w:tcPr>
          <w:p>
            <w:pPr>
              <w:spacing w:after="20" w:before="20"/>
              <w:jc w:val="center"/>
            </w:pPr>
            <w:r/>
            <w:r>
              <w:rPr>
                <w:b/>
                <w:color w:val="FFFFFF"/>
                <w:sz w:val="15"/>
              </w:rPr>
              <w:t>VP</w:t>
            </w:r>
          </w:p>
        </w:tc>
        <w:tc>
          <w:tcPr>
            <w:tcW w:type="dxa" w:w="624"/>
            <w:shd w:val="clear" w:fill="1F3B63"/>
          </w:tcPr>
          <w:p>
            <w:pPr>
              <w:spacing w:after="20" w:before="20"/>
              <w:jc w:val="center"/>
            </w:pPr>
            <w:r/>
            <w:r>
              <w:rPr>
                <w:b/>
                <w:color w:val="FFFFFF"/>
                <w:sz w:val="15"/>
              </w:rPr>
              <w:t>FN</w:t>
            </w:r>
          </w:p>
        </w:tc>
        <w:tc>
          <w:tcPr>
            <w:tcW w:type="dxa" w:w="680"/>
            <w:shd w:val="clear" w:fill="1F3B63"/>
          </w:tcPr>
          <w:p>
            <w:pPr>
              <w:spacing w:after="20" w:before="20"/>
              <w:jc w:val="center"/>
            </w:pPr>
            <w:r/>
            <w:r>
              <w:rPr>
                <w:b/>
                <w:color w:val="FFFFFF"/>
                <w:sz w:val="15"/>
              </w:rPr>
              <w:t>FP</w:t>
            </w:r>
          </w:p>
        </w:tc>
        <w:tc>
          <w:tcPr>
            <w:tcW w:type="dxa" w:w="737"/>
            <w:shd w:val="clear" w:fill="1F3B63"/>
          </w:tcPr>
          <w:p>
            <w:pPr>
              <w:spacing w:after="20" w:before="20"/>
              <w:jc w:val="center"/>
            </w:pPr>
            <w:r/>
            <w:r>
              <w:rPr>
                <w:b/>
                <w:color w:val="FFFFFF"/>
                <w:sz w:val="15"/>
              </w:rPr>
              <w:t>VN</w:t>
            </w:r>
          </w:p>
        </w:tc>
      </w:tr>
      <w:tr>
        <w:tc>
          <w:tcPr>
            <w:tcW w:type="dxa" w:w="1247"/>
          </w:tcPr>
          <w:p>
            <w:pPr>
              <w:spacing w:after="20" w:before="20"/>
              <w:jc w:val="left"/>
            </w:pPr>
            <w:r/>
            <w:r>
              <w:rPr>
                <w:sz w:val="15"/>
              </w:rPr>
              <w:t>Validación</w:t>
            </w:r>
          </w:p>
        </w:tc>
        <w:tc>
          <w:tcPr>
            <w:tcW w:type="dxa" w:w="794"/>
          </w:tcPr>
          <w:p>
            <w:pPr>
              <w:spacing w:after="20" w:before="20"/>
              <w:jc w:val="center"/>
            </w:pPr>
            <w:r/>
            <w:r>
              <w:rPr>
                <w:sz w:val="15"/>
              </w:rPr>
              <w:t>0,2238</w:t>
            </w:r>
          </w:p>
        </w:tc>
        <w:tc>
          <w:tcPr>
            <w:tcW w:type="dxa" w:w="850"/>
          </w:tcPr>
          <w:p>
            <w:pPr>
              <w:spacing w:after="20" w:before="20"/>
              <w:jc w:val="center"/>
            </w:pPr>
            <w:r/>
            <w:r>
              <w:rPr>
                <w:sz w:val="15"/>
              </w:rPr>
              <w:t>0,6660</w:t>
            </w:r>
          </w:p>
        </w:tc>
        <w:tc>
          <w:tcPr>
            <w:tcW w:type="dxa" w:w="794"/>
          </w:tcPr>
          <w:p>
            <w:pPr>
              <w:spacing w:after="20" w:before="20"/>
              <w:jc w:val="center"/>
            </w:pPr>
            <w:r/>
            <w:r>
              <w:rPr>
                <w:sz w:val="15"/>
              </w:rPr>
              <w:t>0,5999</w:t>
            </w:r>
          </w:p>
        </w:tc>
        <w:tc>
          <w:tcPr>
            <w:tcW w:type="dxa" w:w="850"/>
          </w:tcPr>
          <w:p>
            <w:pPr>
              <w:spacing w:after="20" w:before="20"/>
              <w:jc w:val="center"/>
            </w:pPr>
            <w:r/>
            <w:r>
              <w:rPr>
                <w:sz w:val="15"/>
              </w:rPr>
              <w:t>0,1771</w:t>
            </w:r>
          </w:p>
        </w:tc>
        <w:tc>
          <w:tcPr>
            <w:tcW w:type="dxa" w:w="737"/>
          </w:tcPr>
          <w:p>
            <w:pPr>
              <w:spacing w:after="20" w:before="20"/>
              <w:jc w:val="center"/>
            </w:pPr>
            <w:r/>
            <w:r>
              <w:rPr>
                <w:sz w:val="15"/>
              </w:rPr>
              <w:t>0,2735</w:t>
            </w:r>
          </w:p>
        </w:tc>
        <w:tc>
          <w:tcPr>
            <w:tcW w:type="dxa" w:w="850"/>
          </w:tcPr>
          <w:p>
            <w:pPr>
              <w:spacing w:after="20" w:before="20"/>
              <w:jc w:val="center"/>
            </w:pPr>
            <w:r/>
            <w:r>
              <w:rPr>
                <w:sz w:val="15"/>
              </w:rPr>
              <w:t>0,6371</w:t>
            </w:r>
          </w:p>
        </w:tc>
        <w:tc>
          <w:tcPr>
            <w:tcW w:type="dxa" w:w="737"/>
          </w:tcPr>
          <w:p>
            <w:pPr>
              <w:spacing w:after="20" w:before="20"/>
              <w:jc w:val="center"/>
            </w:pPr>
            <w:r/>
            <w:r>
              <w:rPr>
                <w:sz w:val="15"/>
              </w:rPr>
              <w:t>0,0963</w:t>
            </w:r>
          </w:p>
        </w:tc>
        <w:tc>
          <w:tcPr>
            <w:tcW w:type="dxa" w:w="624"/>
          </w:tcPr>
          <w:p>
            <w:pPr>
              <w:spacing w:after="20" w:before="20"/>
              <w:jc w:val="center"/>
            </w:pPr>
            <w:r/>
            <w:r>
              <w:rPr>
                <w:sz w:val="15"/>
              </w:rPr>
              <w:t>1.357</w:t>
            </w:r>
          </w:p>
        </w:tc>
        <w:tc>
          <w:tcPr>
            <w:tcW w:type="dxa" w:w="624"/>
          </w:tcPr>
          <w:p>
            <w:pPr>
              <w:spacing w:after="20" w:before="20"/>
              <w:jc w:val="center"/>
            </w:pPr>
            <w:r/>
            <w:r>
              <w:rPr>
                <w:sz w:val="15"/>
              </w:rPr>
              <w:t>905</w:t>
            </w:r>
          </w:p>
        </w:tc>
        <w:tc>
          <w:tcPr>
            <w:tcW w:type="dxa" w:w="680"/>
          </w:tcPr>
          <w:p>
            <w:pPr>
              <w:spacing w:after="20" w:before="20"/>
              <w:jc w:val="center"/>
            </w:pPr>
            <w:r/>
            <w:r>
              <w:rPr>
                <w:sz w:val="15"/>
              </w:rPr>
              <w:t>6.305</w:t>
            </w:r>
          </w:p>
        </w:tc>
        <w:tc>
          <w:tcPr>
            <w:tcW w:type="dxa" w:w="737"/>
          </w:tcPr>
          <w:p>
            <w:pPr>
              <w:spacing w:after="20" w:before="20"/>
              <w:jc w:val="center"/>
            </w:pPr>
            <w:r/>
            <w:r>
              <w:rPr>
                <w:sz w:val="15"/>
              </w:rPr>
              <w:t>11.301</w:t>
            </w:r>
          </w:p>
        </w:tc>
      </w:tr>
      <w:tr>
        <w:tc>
          <w:tcPr>
            <w:tcW w:type="dxa" w:w="1247"/>
            <w:shd w:val="clear" w:fill="F7F8FA"/>
            <w:shd w:val="clear" w:fill="EDF0F5"/>
          </w:tcPr>
          <w:p>
            <w:pPr>
              <w:spacing w:after="20" w:before="20"/>
              <w:jc w:val="left"/>
            </w:pPr>
            <w:r>
              <w:rPr>
                <w:b/>
              </w:rPr>
            </w:r>
            <w:r>
              <w:rPr>
                <w:b/>
                <w:sz w:val="15"/>
              </w:rPr>
              <w:t>Prueba</w:t>
            </w:r>
          </w:p>
        </w:tc>
        <w:tc>
          <w:tcPr>
            <w:tcW w:type="dxa" w:w="794"/>
            <w:shd w:val="clear" w:fill="F7F8FA"/>
            <w:shd w:val="clear" w:fill="EDF0F5"/>
          </w:tcPr>
          <w:p>
            <w:pPr>
              <w:spacing w:after="20" w:before="20"/>
              <w:jc w:val="center"/>
            </w:pPr>
            <w:r>
              <w:rPr>
                <w:b/>
              </w:rPr>
            </w:r>
            <w:r>
              <w:rPr>
                <w:b/>
                <w:sz w:val="15"/>
              </w:rPr>
              <w:t>0,2249</w:t>
            </w:r>
          </w:p>
        </w:tc>
        <w:tc>
          <w:tcPr>
            <w:tcW w:type="dxa" w:w="850"/>
            <w:shd w:val="clear" w:fill="F7F8FA"/>
            <w:shd w:val="clear" w:fill="EDF0F5"/>
          </w:tcPr>
          <w:p>
            <w:pPr>
              <w:spacing w:after="20" w:before="20"/>
              <w:jc w:val="center"/>
            </w:pPr>
            <w:r>
              <w:rPr>
                <w:b/>
              </w:rPr>
            </w:r>
            <w:r>
              <w:rPr>
                <w:b/>
                <w:sz w:val="15"/>
              </w:rPr>
              <w:t>0,6660</w:t>
            </w:r>
          </w:p>
        </w:tc>
        <w:tc>
          <w:tcPr>
            <w:tcW w:type="dxa" w:w="794"/>
            <w:shd w:val="clear" w:fill="F7F8FA"/>
            <w:shd w:val="clear" w:fill="EDF0F5"/>
          </w:tcPr>
          <w:p>
            <w:pPr>
              <w:spacing w:after="20" w:before="20"/>
              <w:jc w:val="center"/>
            </w:pPr>
            <w:r>
              <w:rPr>
                <w:b/>
              </w:rPr>
            </w:r>
            <w:r>
              <w:rPr>
                <w:b/>
                <w:sz w:val="15"/>
              </w:rPr>
              <w:t>0,6001</w:t>
            </w:r>
          </w:p>
        </w:tc>
        <w:tc>
          <w:tcPr>
            <w:tcW w:type="dxa" w:w="850"/>
            <w:shd w:val="clear" w:fill="F7F8FA"/>
            <w:shd w:val="clear" w:fill="EDF0F5"/>
          </w:tcPr>
          <w:p>
            <w:pPr>
              <w:spacing w:after="20" w:before="20"/>
              <w:jc w:val="center"/>
            </w:pPr>
            <w:r>
              <w:rPr>
                <w:b/>
              </w:rPr>
            </w:r>
            <w:r>
              <w:rPr>
                <w:b/>
                <w:sz w:val="15"/>
              </w:rPr>
              <w:t>0,1781</w:t>
            </w:r>
          </w:p>
        </w:tc>
        <w:tc>
          <w:tcPr>
            <w:tcW w:type="dxa" w:w="737"/>
            <w:shd w:val="clear" w:fill="F7F8FA"/>
            <w:shd w:val="clear" w:fill="EDF0F5"/>
          </w:tcPr>
          <w:p>
            <w:pPr>
              <w:spacing w:after="20" w:before="20"/>
              <w:jc w:val="center"/>
            </w:pPr>
            <w:r>
              <w:rPr>
                <w:b/>
              </w:rPr>
            </w:r>
            <w:r>
              <w:rPr>
                <w:b/>
                <w:sz w:val="15"/>
              </w:rPr>
              <w:t>0,2747</w:t>
            </w:r>
          </w:p>
        </w:tc>
        <w:tc>
          <w:tcPr>
            <w:tcW w:type="dxa" w:w="850"/>
            <w:shd w:val="clear" w:fill="F7F8FA"/>
            <w:shd w:val="clear" w:fill="EDF0F5"/>
          </w:tcPr>
          <w:p>
            <w:pPr>
              <w:spacing w:after="20" w:before="20"/>
              <w:jc w:val="center"/>
            </w:pPr>
            <w:r>
              <w:rPr>
                <w:b/>
              </w:rPr>
            </w:r>
            <w:r>
              <w:rPr>
                <w:b/>
                <w:sz w:val="15"/>
              </w:rPr>
              <w:t>0,6391</w:t>
            </w:r>
          </w:p>
        </w:tc>
        <w:tc>
          <w:tcPr>
            <w:tcW w:type="dxa" w:w="737"/>
            <w:shd w:val="clear" w:fill="F7F8FA"/>
            <w:shd w:val="clear" w:fill="EDF0F5"/>
          </w:tcPr>
          <w:p>
            <w:pPr>
              <w:spacing w:after="20" w:before="20"/>
              <w:jc w:val="center"/>
            </w:pPr>
            <w:r>
              <w:rPr>
                <w:b/>
              </w:rPr>
            </w:r>
            <w:r>
              <w:rPr>
                <w:b/>
                <w:sz w:val="15"/>
              </w:rPr>
              <w:t>0,0963</w:t>
            </w:r>
          </w:p>
        </w:tc>
        <w:tc>
          <w:tcPr>
            <w:tcW w:type="dxa" w:w="624"/>
            <w:shd w:val="clear" w:fill="F7F8FA"/>
            <w:shd w:val="clear" w:fill="EDF0F5"/>
          </w:tcPr>
          <w:p>
            <w:pPr>
              <w:spacing w:after="20" w:before="20"/>
              <w:jc w:val="center"/>
            </w:pPr>
            <w:r>
              <w:rPr>
                <w:b/>
              </w:rPr>
            </w:r>
            <w:r>
              <w:rPr>
                <w:b/>
                <w:sz w:val="15"/>
              </w:rPr>
              <w:t>1.358</w:t>
            </w:r>
          </w:p>
        </w:tc>
        <w:tc>
          <w:tcPr>
            <w:tcW w:type="dxa" w:w="624"/>
            <w:shd w:val="clear" w:fill="F7F8FA"/>
            <w:shd w:val="clear" w:fill="EDF0F5"/>
          </w:tcPr>
          <w:p>
            <w:pPr>
              <w:spacing w:after="20" w:before="20"/>
              <w:jc w:val="center"/>
            </w:pPr>
            <w:r>
              <w:rPr>
                <w:b/>
              </w:rPr>
            </w:r>
            <w:r>
              <w:rPr>
                <w:b/>
                <w:sz w:val="15"/>
              </w:rPr>
              <w:t>905</w:t>
            </w:r>
          </w:p>
        </w:tc>
        <w:tc>
          <w:tcPr>
            <w:tcW w:type="dxa" w:w="680"/>
            <w:shd w:val="clear" w:fill="F7F8FA"/>
            <w:shd w:val="clear" w:fill="EDF0F5"/>
          </w:tcPr>
          <w:p>
            <w:pPr>
              <w:spacing w:after="20" w:before="20"/>
              <w:jc w:val="center"/>
            </w:pPr>
            <w:r>
              <w:rPr>
                <w:b/>
              </w:rPr>
            </w:r>
            <w:r>
              <w:rPr>
                <w:b/>
                <w:sz w:val="15"/>
              </w:rPr>
              <w:t>6.266</w:t>
            </w:r>
          </w:p>
        </w:tc>
        <w:tc>
          <w:tcPr>
            <w:tcW w:type="dxa" w:w="737"/>
            <w:shd w:val="clear" w:fill="F7F8FA"/>
            <w:shd w:val="clear" w:fill="EDF0F5"/>
          </w:tcPr>
          <w:p>
            <w:pPr>
              <w:spacing w:after="20" w:before="20"/>
              <w:jc w:val="center"/>
            </w:pPr>
            <w:r>
              <w:rPr>
                <w:b/>
              </w:rPr>
            </w:r>
            <w:r>
              <w:rPr>
                <w:b/>
                <w:sz w:val="15"/>
              </w:rPr>
              <w:t>11.341</w:t>
            </w:r>
          </w:p>
        </w:tc>
      </w:tr>
    </w:tbl>
    <w:p>
      <w:pPr>
        <w:spacing w:after="0"/>
      </w:pPr>
    </w:p>
    <w:p>
      <w:pPr>
        <w:spacing w:before="120" w:after="160"/>
        <w:ind w:left="227"/>
        <w:jc w:val="both"/>
        <w:pBdr>
          <w:left w:val="single" w:sz="18" w:space="8" w:color="1F3B63"/>
        </w:pBdr>
      </w:pPr>
      <w:r>
        <w:rPr>
          <w:sz w:val="20"/>
        </w:rPr>
        <w:t xml:space="preserve">Validación y prueba coinciden casi exactamente: AP 0,2238 frente a 0,2249, ROC-AUC 0,6660 en ambos conjuntos, sensibilidad 0,5999 frente a 0,6001. Es el resultado más sólido del informe y sostiene tres afirmaciones a la vez: </w:t>
      </w:r>
      <w:r>
        <w:rPr>
          <w:b/>
          <w:sz w:val="20"/>
        </w:rPr>
        <w:t>no hubo sobreajuste</w:t>
      </w:r>
      <w:r>
        <w:rPr>
          <w:sz w:val="20"/>
        </w:rPr>
        <w:t xml:space="preserve"> durante las treinta combinaciones de la búsqueda, </w:t>
      </w:r>
      <w:r>
        <w:rPr>
          <w:b/>
          <w:sz w:val="20"/>
        </w:rPr>
        <w:t>el umbral fijado en validación se mantiene</w:t>
      </w:r>
      <w:r>
        <w:rPr>
          <w:sz w:val="20"/>
        </w:rPr>
        <w:t xml:space="preserve"> en datos nuevos y </w:t>
      </w:r>
      <w:r>
        <w:rPr>
          <w:b/>
          <w:sz w:val="20"/>
        </w:rPr>
        <w:t>la partición por paciente funcionó</w:t>
      </w:r>
      <w:r>
        <w:rPr>
          <w:sz w:val="20"/>
        </w:rPr>
        <w:t xml:space="preserve"> —de haber existido fuga de información, el desempeño habría caído—.</w:t>
      </w:r>
    </w:p>
    <w:p>
      <w:pPr>
        <w:keepNext/>
        <w:spacing w:before="80" w:after="160"/>
        <w:jc w:val="center"/>
      </w:pPr>
      <w:r>
        <w:rPr>
          <w:b/>
          <w:color w:val="555A62"/>
          <w:sz w:val="17"/>
        </w:rPr>
        <w:t>Tabla 15.</w:t>
      </w:r>
      <w:r>
        <w:rPr>
          <w:color w:val="555A62"/>
          <w:sz w:val="17"/>
        </w:rPr>
        <w:t xml:space="preserve"> Intervalos de confianza del 95 % en prueba. Bootstrap de 500 remuestreos de pacientes completos (14.020 pacientes).</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928"/>
            <w:shd w:val="clear" w:fill="1F3B63"/>
          </w:tcPr>
          <w:p>
            <w:pPr>
              <w:spacing w:after="20" w:before="20"/>
              <w:jc w:val="center"/>
            </w:pPr>
            <w:r/>
            <w:r>
              <w:rPr>
                <w:b/>
                <w:color w:val="FFFFFF"/>
                <w:sz w:val="17"/>
              </w:rPr>
              <w:t>Métrica</w:t>
            </w:r>
          </w:p>
        </w:tc>
        <w:tc>
          <w:tcPr>
            <w:tcW w:type="dxa" w:w="1587"/>
            <w:shd w:val="clear" w:fill="1F3B63"/>
          </w:tcPr>
          <w:p>
            <w:pPr>
              <w:spacing w:after="20" w:before="20"/>
              <w:jc w:val="center"/>
            </w:pPr>
            <w:r/>
            <w:r>
              <w:rPr>
                <w:b/>
                <w:color w:val="FFFFFF"/>
                <w:sz w:val="17"/>
              </w:rPr>
              <w:t>Valor observado</w:t>
            </w:r>
          </w:p>
        </w:tc>
        <w:tc>
          <w:tcPr>
            <w:tcW w:type="dxa" w:w="1928"/>
            <w:shd w:val="clear" w:fill="1F3B63"/>
          </w:tcPr>
          <w:p>
            <w:pPr>
              <w:spacing w:after="20" w:before="20"/>
              <w:jc w:val="center"/>
            </w:pPr>
            <w:r/>
            <w:r>
              <w:rPr>
                <w:b/>
                <w:color w:val="FFFFFF"/>
                <w:sz w:val="17"/>
              </w:rPr>
              <w:t>IC 95 %</w:t>
            </w:r>
          </w:p>
        </w:tc>
        <w:tc>
          <w:tcPr>
            <w:tcW w:type="dxa" w:w="3628"/>
            <w:shd w:val="clear" w:fill="1F3B63"/>
          </w:tcPr>
          <w:p>
            <w:pPr>
              <w:spacing w:after="20" w:before="20"/>
              <w:jc w:val="center"/>
            </w:pPr>
            <w:r/>
            <w:r>
              <w:rPr>
                <w:b/>
                <w:color w:val="FFFFFF"/>
                <w:sz w:val="17"/>
              </w:rPr>
              <w:t>Lectura</w:t>
            </w:r>
          </w:p>
        </w:tc>
      </w:tr>
      <w:tr>
        <w:tc>
          <w:tcPr>
            <w:tcW w:type="dxa" w:w="1928"/>
          </w:tcPr>
          <w:p>
            <w:pPr>
              <w:spacing w:after="20" w:before="20"/>
              <w:jc w:val="left"/>
            </w:pPr>
            <w:r/>
            <w:r>
              <w:rPr>
                <w:sz w:val="17"/>
              </w:rPr>
              <w:t>Average precision</w:t>
            </w:r>
          </w:p>
        </w:tc>
        <w:tc>
          <w:tcPr>
            <w:tcW w:type="dxa" w:w="1587"/>
          </w:tcPr>
          <w:p>
            <w:pPr>
              <w:spacing w:after="20" w:before="20"/>
              <w:jc w:val="center"/>
            </w:pPr>
            <w:r/>
            <w:r>
              <w:rPr>
                <w:sz w:val="17"/>
              </w:rPr>
              <w:t>0,2249</w:t>
            </w:r>
          </w:p>
        </w:tc>
        <w:tc>
          <w:tcPr>
            <w:tcW w:type="dxa" w:w="1928"/>
          </w:tcPr>
          <w:p>
            <w:pPr>
              <w:spacing w:after="20" w:before="20"/>
              <w:jc w:val="center"/>
            </w:pPr>
            <w:r/>
            <w:r>
              <w:rPr>
                <w:sz w:val="17"/>
              </w:rPr>
              <w:t>[0,2047 ; 0,2467]</w:t>
            </w:r>
          </w:p>
        </w:tc>
        <w:tc>
          <w:tcPr>
            <w:tcW w:type="dxa" w:w="3628"/>
          </w:tcPr>
          <w:p>
            <w:pPr>
              <w:spacing w:after="20" w:before="20"/>
              <w:jc w:val="left"/>
            </w:pPr>
            <w:r/>
            <w:r>
              <w:rPr>
                <w:sz w:val="17"/>
              </w:rPr>
              <w:t>todo el intervalo supera la meta de 0,1708</w:t>
            </w:r>
          </w:p>
        </w:tc>
      </w:tr>
      <w:tr>
        <w:tc>
          <w:tcPr>
            <w:tcW w:type="dxa" w:w="1928"/>
            <w:shd w:val="clear" w:fill="F7F8FA"/>
          </w:tcPr>
          <w:p>
            <w:pPr>
              <w:spacing w:after="20" w:before="20"/>
              <w:jc w:val="left"/>
            </w:pPr>
            <w:r/>
            <w:r>
              <w:rPr>
                <w:sz w:val="17"/>
              </w:rPr>
              <w:t>ROC-AUC</w:t>
            </w:r>
          </w:p>
        </w:tc>
        <w:tc>
          <w:tcPr>
            <w:tcW w:type="dxa" w:w="1587"/>
            <w:shd w:val="clear" w:fill="F7F8FA"/>
          </w:tcPr>
          <w:p>
            <w:pPr>
              <w:spacing w:after="20" w:before="20"/>
              <w:jc w:val="center"/>
            </w:pPr>
            <w:r/>
            <w:r>
              <w:rPr>
                <w:sz w:val="17"/>
              </w:rPr>
              <w:t>0,6660</w:t>
            </w:r>
          </w:p>
        </w:tc>
        <w:tc>
          <w:tcPr>
            <w:tcW w:type="dxa" w:w="1928"/>
            <w:shd w:val="clear" w:fill="F7F8FA"/>
          </w:tcPr>
          <w:p>
            <w:pPr>
              <w:spacing w:after="20" w:before="20"/>
              <w:jc w:val="center"/>
            </w:pPr>
            <w:r/>
            <w:r>
              <w:rPr>
                <w:sz w:val="17"/>
              </w:rPr>
              <w:t>[0,6527 ; 0,6786]</w:t>
            </w:r>
          </w:p>
        </w:tc>
        <w:tc>
          <w:tcPr>
            <w:tcW w:type="dxa" w:w="3628"/>
            <w:shd w:val="clear" w:fill="F7F8FA"/>
          </w:tcPr>
          <w:p>
            <w:pPr>
              <w:spacing w:after="20" w:before="20"/>
              <w:jc w:val="left"/>
            </w:pPr>
            <w:r/>
            <w:r>
              <w:rPr>
                <w:sz w:val="17"/>
              </w:rPr>
              <w:t>el límite inferior también supera la meta de 0,65</w:t>
            </w:r>
          </w:p>
        </w:tc>
      </w:tr>
      <w:tr>
        <w:tc>
          <w:tcPr>
            <w:tcW w:type="dxa" w:w="1928"/>
          </w:tcPr>
          <w:p>
            <w:pPr>
              <w:spacing w:after="20" w:before="20"/>
              <w:jc w:val="left"/>
            </w:pPr>
            <w:r/>
            <w:r>
              <w:rPr>
                <w:sz w:val="17"/>
              </w:rPr>
              <w:t>Sensibilidad</w:t>
            </w:r>
          </w:p>
        </w:tc>
        <w:tc>
          <w:tcPr>
            <w:tcW w:type="dxa" w:w="1587"/>
          </w:tcPr>
          <w:p>
            <w:pPr>
              <w:spacing w:after="20" w:before="20"/>
              <w:jc w:val="center"/>
            </w:pPr>
            <w:r/>
            <w:r>
              <w:rPr>
                <w:sz w:val="17"/>
              </w:rPr>
              <w:t>0,6001</w:t>
            </w:r>
          </w:p>
        </w:tc>
        <w:tc>
          <w:tcPr>
            <w:tcW w:type="dxa" w:w="1928"/>
          </w:tcPr>
          <w:p>
            <w:pPr>
              <w:spacing w:after="20" w:before="20"/>
              <w:jc w:val="center"/>
            </w:pPr>
            <w:r/>
            <w:r>
              <w:rPr>
                <w:sz w:val="17"/>
              </w:rPr>
              <w:t>[0,5766 ; 0,6202]</w:t>
            </w:r>
          </w:p>
        </w:tc>
        <w:tc>
          <w:tcPr>
            <w:tcW w:type="dxa" w:w="3628"/>
          </w:tcPr>
          <w:p>
            <w:pPr>
              <w:spacing w:after="20" w:before="20"/>
              <w:jc w:val="left"/>
            </w:pPr>
            <w:r/>
            <w:r>
              <w:rPr>
                <w:sz w:val="17"/>
              </w:rPr>
              <w:t>la meta de 0,60 queda dentro del intervalo</w:t>
            </w:r>
          </w:p>
        </w:tc>
      </w:tr>
    </w:tbl>
    <w:p>
      <w:pPr>
        <w:spacing w:after="0"/>
      </w:pPr>
    </w:p>
    <w:p>
      <w:r>
        <w:t xml:space="preserve">El remuestreo se hizo sobre </w:t>
      </w:r>
      <w:r>
        <w:rPr>
          <w:b/>
        </w:rPr>
        <w:t>pacientes completos y no sobre filas</w:t>
      </w:r>
      <w:r>
        <w:t>, por la misma razón que obligó a particionar por paciente: tomar filas sueltas partiría las hospitalizaciones de una persona entre la muestra y el resto, y el intervalo saldría artificialmente estrecho.</w:t>
      </w:r>
    </w:p>
    <w:p>
      <w:pPr>
        <w:keepNext/>
        <w:spacing w:before="160" w:after="40"/>
        <w:jc w:val="center"/>
      </w:pPr>
      <w:r>
        <w:drawing>
          <wp:inline xmlns:a="http://schemas.openxmlformats.org/drawingml/2006/main" xmlns:pic="http://schemas.openxmlformats.org/drawingml/2006/picture">
            <wp:extent cx="4140000" cy="1566424"/>
            <wp:docPr id="3" name="Picture 3"/>
            <wp:cNvGraphicFramePr>
              <a:graphicFrameLocks noChangeAspect="1"/>
            </wp:cNvGraphicFramePr>
            <a:graphic>
              <a:graphicData uri="http://schemas.openxmlformats.org/drawingml/2006/picture">
                <pic:pic>
                  <pic:nvPicPr>
                    <pic:cNvPr id="0" name="04_prueba_final.png"/>
                    <pic:cNvPicPr/>
                  </pic:nvPicPr>
                  <pic:blipFill>
                    <a:blip r:embed="rId12"/>
                    <a:stretch>
                      <a:fillRect/>
                    </a:stretch>
                  </pic:blipFill>
                  <pic:spPr>
                    <a:xfrm>
                      <a:off x="0" y="0"/>
                      <a:ext cx="4140000" cy="1566424"/>
                    </a:xfrm>
                    <a:prstGeom prst="rect"/>
                  </pic:spPr>
                </pic:pic>
              </a:graphicData>
            </a:graphic>
          </wp:inline>
        </w:drawing>
      </w:r>
    </w:p>
    <w:p>
      <w:pPr>
        <w:keepNext w:val="0"/>
        <w:spacing w:before="40" w:after="80"/>
        <w:jc w:val="center"/>
      </w:pPr>
      <w:r>
        <w:rPr>
          <w:b/>
          <w:color w:val="555A62"/>
          <w:sz w:val="17"/>
        </w:rPr>
        <w:t>Figura 3.</w:t>
      </w:r>
      <w:r>
        <w:rPr>
          <w:color w:val="555A62"/>
          <w:sz w:val="17"/>
        </w:rPr>
        <w:t xml:space="preserve"> Curva precisión–sensibilidad y curva ROC sobre el conjunto de prueba, con el punto de operación del umbral seleccionado.</w:t>
      </w:r>
    </w:p>
    <w:p>
      <w:r>
        <w:t>La exactitud global en prueba es 63,91 %, inferior al 88,61 % del clasificador mayoritario. Es el intercambio deliberado que exige detectar seis de cada diez reingresos, y muestra una vez más por qué la exactitud no fue el criterio de selección.</w:t>
      </w:r>
    </w:p>
    <w:p>
      <w:pPr>
        <w:keepNext/>
        <w:spacing w:before="220" w:after="100"/>
        <w:jc w:val="left"/>
        <w:pBdr>
          <w:bottom w:val="single" w:sz="6" w:space="3" w:color="C5CEDC"/>
        </w:pBdr>
      </w:pPr>
      <w:r>
        <w:rPr>
          <w:b/>
          <w:color w:val="1F3B63"/>
          <w:sz w:val="26"/>
        </w:rPr>
        <w:t>11.  Comparación de modelos y contraste con el estado del arte</w:t>
      </w:r>
    </w:p>
    <w:p>
      <w:pPr>
        <w:keepNext/>
        <w:spacing w:before="80" w:after="160"/>
        <w:jc w:val="center"/>
      </w:pPr>
      <w:r>
        <w:rPr>
          <w:b/>
          <w:color w:val="555A62"/>
          <w:sz w:val="17"/>
        </w:rPr>
        <w:t>Tabla 16.</w:t>
      </w:r>
      <w:r>
        <w:rPr>
          <w:color w:val="555A62"/>
          <w:sz w:val="17"/>
        </w:rPr>
        <w:t xml:space="preserve"> Comparación de los cuatro modelos en validación.</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3061"/>
            <w:shd w:val="clear" w:fill="1F3B63"/>
          </w:tcPr>
          <w:p>
            <w:pPr>
              <w:spacing w:after="20" w:before="20"/>
              <w:jc w:val="center"/>
            </w:pPr>
            <w:r/>
            <w:r>
              <w:rPr>
                <w:b/>
                <w:color w:val="FFFFFF"/>
                <w:sz w:val="17"/>
              </w:rPr>
              <w:t>Modelo</w:t>
            </w:r>
          </w:p>
        </w:tc>
        <w:tc>
          <w:tcPr>
            <w:tcW w:type="dxa" w:w="1134"/>
            <w:shd w:val="clear" w:fill="1F3B63"/>
          </w:tcPr>
          <w:p>
            <w:pPr>
              <w:spacing w:after="20" w:before="20"/>
              <w:jc w:val="center"/>
            </w:pPr>
            <w:r/>
            <w:r>
              <w:rPr>
                <w:b/>
                <w:color w:val="FFFFFF"/>
                <w:sz w:val="17"/>
              </w:rPr>
              <w:t>AP</w:t>
            </w:r>
          </w:p>
        </w:tc>
        <w:tc>
          <w:tcPr>
            <w:tcW w:type="dxa" w:w="1247"/>
            <w:shd w:val="clear" w:fill="1F3B63"/>
          </w:tcPr>
          <w:p>
            <w:pPr>
              <w:spacing w:after="20" w:before="20"/>
              <w:jc w:val="center"/>
            </w:pPr>
            <w:r/>
            <w:r>
              <w:rPr>
                <w:b/>
                <w:color w:val="FFFFFF"/>
                <w:sz w:val="17"/>
              </w:rPr>
              <w:t>ROC-AUC</w:t>
            </w:r>
          </w:p>
        </w:tc>
        <w:tc>
          <w:tcPr>
            <w:tcW w:type="dxa" w:w="1701"/>
            <w:shd w:val="clear" w:fill="1F3B63"/>
          </w:tcPr>
          <w:p>
            <w:pPr>
              <w:spacing w:after="20" w:before="20"/>
              <w:jc w:val="center"/>
            </w:pPr>
            <w:r/>
            <w:r>
              <w:rPr>
                <w:b/>
                <w:color w:val="FFFFFF"/>
                <w:sz w:val="17"/>
              </w:rPr>
              <w:t>AP / prevalencia</w:t>
            </w:r>
          </w:p>
        </w:tc>
        <w:tc>
          <w:tcPr>
            <w:tcW w:type="dxa" w:w="2494"/>
            <w:shd w:val="clear" w:fill="1F3B63"/>
          </w:tcPr>
          <w:p>
            <w:pPr>
              <w:spacing w:after="20" w:before="20"/>
              <w:jc w:val="center"/>
            </w:pPr>
            <w:r/>
            <w:r>
              <w:rPr>
                <w:b/>
                <w:color w:val="FFFFFF"/>
                <w:sz w:val="17"/>
              </w:rPr>
              <w:t>Mejora de AP frente a la logística</w:t>
            </w:r>
          </w:p>
        </w:tc>
      </w:tr>
      <w:tr>
        <w:tc>
          <w:tcPr>
            <w:tcW w:type="dxa" w:w="3061"/>
          </w:tcPr>
          <w:p>
            <w:pPr>
              <w:spacing w:after="20" w:before="20"/>
              <w:jc w:val="left"/>
            </w:pPr>
            <w:r/>
            <w:r>
              <w:rPr>
                <w:sz w:val="17"/>
              </w:rPr>
              <w:t>Clasificador mayoritario</w:t>
            </w:r>
          </w:p>
        </w:tc>
        <w:tc>
          <w:tcPr>
            <w:tcW w:type="dxa" w:w="1134"/>
          </w:tcPr>
          <w:p>
            <w:pPr>
              <w:spacing w:after="20" w:before="20"/>
              <w:jc w:val="center"/>
            </w:pPr>
            <w:r/>
            <w:r>
              <w:rPr>
                <w:sz w:val="17"/>
              </w:rPr>
              <w:t>0,1139</w:t>
            </w:r>
          </w:p>
        </w:tc>
        <w:tc>
          <w:tcPr>
            <w:tcW w:type="dxa" w:w="1247"/>
          </w:tcPr>
          <w:p>
            <w:pPr>
              <w:spacing w:after="20" w:before="20"/>
              <w:jc w:val="center"/>
            </w:pPr>
            <w:r/>
            <w:r>
              <w:rPr>
                <w:sz w:val="17"/>
              </w:rPr>
              <w:t>0,5000</w:t>
            </w:r>
          </w:p>
        </w:tc>
        <w:tc>
          <w:tcPr>
            <w:tcW w:type="dxa" w:w="1701"/>
          </w:tcPr>
          <w:p>
            <w:pPr>
              <w:spacing w:after="20" w:before="20"/>
              <w:jc w:val="center"/>
            </w:pPr>
            <w:r/>
            <w:r>
              <w:rPr>
                <w:sz w:val="17"/>
              </w:rPr>
              <w:t>1,00 ×</w:t>
            </w:r>
          </w:p>
        </w:tc>
        <w:tc>
          <w:tcPr>
            <w:tcW w:type="dxa" w:w="2494"/>
          </w:tcPr>
          <w:p>
            <w:pPr>
              <w:spacing w:after="20" w:before="20"/>
              <w:jc w:val="center"/>
            </w:pPr>
            <w:r/>
            <w:r>
              <w:rPr>
                <w:sz w:val="17"/>
              </w:rPr>
              <w:t>−46,7 %</w:t>
            </w:r>
          </w:p>
        </w:tc>
      </w:tr>
      <w:tr>
        <w:tc>
          <w:tcPr>
            <w:tcW w:type="dxa" w:w="3061"/>
            <w:shd w:val="clear" w:fill="F7F8FA"/>
          </w:tcPr>
          <w:p>
            <w:pPr>
              <w:spacing w:after="20" w:before="20"/>
              <w:jc w:val="left"/>
            </w:pPr>
            <w:r/>
            <w:r>
              <w:rPr>
                <w:sz w:val="17"/>
              </w:rPr>
              <w:t>Regresión logística</w:t>
            </w:r>
          </w:p>
        </w:tc>
        <w:tc>
          <w:tcPr>
            <w:tcW w:type="dxa" w:w="1134"/>
            <w:shd w:val="clear" w:fill="F7F8FA"/>
          </w:tcPr>
          <w:p>
            <w:pPr>
              <w:spacing w:after="20" w:before="20"/>
              <w:jc w:val="center"/>
            </w:pPr>
            <w:r/>
            <w:r>
              <w:rPr>
                <w:sz w:val="17"/>
              </w:rPr>
              <w:t>0,2136</w:t>
            </w:r>
          </w:p>
        </w:tc>
        <w:tc>
          <w:tcPr>
            <w:tcW w:type="dxa" w:w="1247"/>
            <w:shd w:val="clear" w:fill="F7F8FA"/>
          </w:tcPr>
          <w:p>
            <w:pPr>
              <w:spacing w:after="20" w:before="20"/>
              <w:jc w:val="center"/>
            </w:pPr>
            <w:r/>
            <w:r>
              <w:rPr>
                <w:sz w:val="17"/>
              </w:rPr>
              <w:t>0,6540</w:t>
            </w:r>
          </w:p>
        </w:tc>
        <w:tc>
          <w:tcPr>
            <w:tcW w:type="dxa" w:w="1701"/>
            <w:shd w:val="clear" w:fill="F7F8FA"/>
          </w:tcPr>
          <w:p>
            <w:pPr>
              <w:spacing w:after="20" w:before="20"/>
              <w:jc w:val="center"/>
            </w:pPr>
            <w:r/>
            <w:r>
              <w:rPr>
                <w:sz w:val="17"/>
              </w:rPr>
              <w:t>1,88 ×</w:t>
            </w:r>
          </w:p>
        </w:tc>
        <w:tc>
          <w:tcPr>
            <w:tcW w:type="dxa" w:w="2494"/>
            <w:shd w:val="clear" w:fill="F7F8FA"/>
          </w:tcPr>
          <w:p>
            <w:pPr>
              <w:spacing w:after="20" w:before="20"/>
              <w:jc w:val="center"/>
            </w:pPr>
            <w:r/>
            <w:r>
              <w:rPr>
                <w:sz w:val="17"/>
              </w:rPr>
              <w:t>referencia</w:t>
            </w:r>
          </w:p>
        </w:tc>
      </w:tr>
      <w:tr>
        <w:tc>
          <w:tcPr>
            <w:tcW w:type="dxa" w:w="3061"/>
          </w:tcPr>
          <w:p>
            <w:pPr>
              <w:spacing w:after="20" w:before="20"/>
              <w:jc w:val="left"/>
            </w:pPr>
            <w:r/>
            <w:r>
              <w:rPr>
                <w:sz w:val="17"/>
              </w:rPr>
              <w:t>Gradient Boosting por defecto</w:t>
            </w:r>
          </w:p>
        </w:tc>
        <w:tc>
          <w:tcPr>
            <w:tcW w:type="dxa" w:w="1134"/>
          </w:tcPr>
          <w:p>
            <w:pPr>
              <w:spacing w:after="20" w:before="20"/>
              <w:jc w:val="center"/>
            </w:pPr>
            <w:r/>
            <w:r>
              <w:rPr>
                <w:sz w:val="17"/>
              </w:rPr>
              <w:t>0,2192</w:t>
            </w:r>
          </w:p>
        </w:tc>
        <w:tc>
          <w:tcPr>
            <w:tcW w:type="dxa" w:w="1247"/>
          </w:tcPr>
          <w:p>
            <w:pPr>
              <w:spacing w:after="20" w:before="20"/>
              <w:jc w:val="center"/>
            </w:pPr>
            <w:r/>
            <w:r>
              <w:rPr>
                <w:sz w:val="17"/>
              </w:rPr>
              <w:t>0,6621</w:t>
            </w:r>
          </w:p>
        </w:tc>
        <w:tc>
          <w:tcPr>
            <w:tcW w:type="dxa" w:w="1701"/>
          </w:tcPr>
          <w:p>
            <w:pPr>
              <w:spacing w:after="20" w:before="20"/>
              <w:jc w:val="center"/>
            </w:pPr>
            <w:r/>
            <w:r>
              <w:rPr>
                <w:sz w:val="17"/>
              </w:rPr>
              <w:t>1,93 ×</w:t>
            </w:r>
          </w:p>
        </w:tc>
        <w:tc>
          <w:tcPr>
            <w:tcW w:type="dxa" w:w="2494"/>
          </w:tcPr>
          <w:p>
            <w:pPr>
              <w:spacing w:after="20" w:before="20"/>
              <w:jc w:val="center"/>
            </w:pPr>
            <w:r/>
            <w:r>
              <w:rPr>
                <w:sz w:val="17"/>
              </w:rPr>
              <w:t>+2,6 %</w:t>
            </w:r>
          </w:p>
        </w:tc>
      </w:tr>
      <w:tr>
        <w:tc>
          <w:tcPr>
            <w:tcW w:type="dxa" w:w="3061"/>
            <w:shd w:val="clear" w:fill="F7F8FA"/>
            <w:shd w:val="clear" w:fill="EDF0F5"/>
          </w:tcPr>
          <w:p>
            <w:pPr>
              <w:spacing w:after="20" w:before="20"/>
              <w:jc w:val="left"/>
            </w:pPr>
            <w:r>
              <w:rPr>
                <w:b/>
              </w:rPr>
            </w:r>
            <w:r>
              <w:rPr>
                <w:b/>
                <w:sz w:val="17"/>
              </w:rPr>
              <w:t>Gradient Boosting ajustado</w:t>
            </w:r>
          </w:p>
        </w:tc>
        <w:tc>
          <w:tcPr>
            <w:tcW w:type="dxa" w:w="1134"/>
            <w:shd w:val="clear" w:fill="F7F8FA"/>
            <w:shd w:val="clear" w:fill="EDF0F5"/>
          </w:tcPr>
          <w:p>
            <w:pPr>
              <w:spacing w:after="20" w:before="20"/>
              <w:jc w:val="center"/>
            </w:pPr>
            <w:r>
              <w:rPr>
                <w:b/>
              </w:rPr>
            </w:r>
            <w:r>
              <w:rPr>
                <w:b/>
                <w:sz w:val="17"/>
              </w:rPr>
              <w:t>0,2238</w:t>
            </w:r>
          </w:p>
        </w:tc>
        <w:tc>
          <w:tcPr>
            <w:tcW w:type="dxa" w:w="1247"/>
            <w:shd w:val="clear" w:fill="F7F8FA"/>
            <w:shd w:val="clear" w:fill="EDF0F5"/>
          </w:tcPr>
          <w:p>
            <w:pPr>
              <w:spacing w:after="20" w:before="20"/>
              <w:jc w:val="center"/>
            </w:pPr>
            <w:r>
              <w:rPr>
                <w:b/>
              </w:rPr>
            </w:r>
            <w:r>
              <w:rPr>
                <w:b/>
                <w:sz w:val="17"/>
              </w:rPr>
              <w:t>0,6660</w:t>
            </w:r>
          </w:p>
        </w:tc>
        <w:tc>
          <w:tcPr>
            <w:tcW w:type="dxa" w:w="1701"/>
            <w:shd w:val="clear" w:fill="F7F8FA"/>
            <w:shd w:val="clear" w:fill="EDF0F5"/>
          </w:tcPr>
          <w:p>
            <w:pPr>
              <w:spacing w:after="20" w:before="20"/>
              <w:jc w:val="center"/>
            </w:pPr>
            <w:r>
              <w:rPr>
                <w:b/>
              </w:rPr>
            </w:r>
            <w:r>
              <w:rPr>
                <w:b/>
                <w:sz w:val="17"/>
              </w:rPr>
              <w:t>1,97 ×</w:t>
            </w:r>
          </w:p>
        </w:tc>
        <w:tc>
          <w:tcPr>
            <w:tcW w:type="dxa" w:w="2494"/>
            <w:shd w:val="clear" w:fill="F7F8FA"/>
            <w:shd w:val="clear" w:fill="EDF0F5"/>
          </w:tcPr>
          <w:p>
            <w:pPr>
              <w:spacing w:after="20" w:before="20"/>
              <w:jc w:val="center"/>
            </w:pPr>
            <w:r>
              <w:rPr>
                <w:b/>
              </w:rPr>
            </w:r>
            <w:r>
              <w:rPr>
                <w:b/>
                <w:sz w:val="17"/>
              </w:rPr>
              <w:t>+4,8 %</w:t>
            </w:r>
          </w:p>
        </w:tc>
      </w:tr>
    </w:tbl>
    <w:p>
      <w:pPr>
        <w:spacing w:after="0"/>
      </w:pPr>
    </w:p>
    <w:p>
      <w:r>
        <w:t>La progresión responde la pregunta de investigación de la Fase 1: Gradient Boosting mejora a la regresión logística, pero la mejora es del 4,8 % en AP, no un cambio de orden de magnitud, y el ajuste de hiperparámetros aportó la mitad de esa ganancia. Los dos modelos ordenan los casos de forma parecida porque la señal disponible en la tabla es limitada, no porque el algoritmo esté mal configurado.</w:t>
      </w:r>
    </w:p>
    <w:p>
      <w:r>
        <w:t xml:space="preserve">Este resultado </w:t>
      </w:r>
      <w:r>
        <w:rPr>
          <w:b/>
        </w:rPr>
        <w:t>coincide con el antecedente que el propio estado del arte anticipaba</w:t>
      </w:r>
      <w:r>
        <w:t>. Frizzell et al. (2017), al comparar métodos en 56.477 pacientes con insuficiencia cardiaca, obtuvieron un estadístico C de aproximadamente 0,61 para Gradient Boosting y 0,62 para regresión logística. Nuestros 0,666 y 0,654 reproducen ese patrón con valores algo superiores y confirman empíricamente la advertencia que la Fase 1 extrajo de ese artículo: no dar por hecho que el algoritmo más complejo será superior.</w:t>
      </w:r>
    </w:p>
    <w:p>
      <w:r>
        <w:t>El contraste con Rajkomar et al. (2018) delimita el techo del proyecto: con historias clínicas completas de dos centros y 216.221 hospitalizaciones alcanzaron AUROC al egreso de 0,77 y 0,76. La diferencia frente a nuestro 0,666 no se explica por el algoritmo sino por la información disponible —el archivo de UCI es una tabla resumida, sin evolución temporal, notas clínicas ni laboratorios detallados—. Ninguna búsqueda de hiperparámetros recupera lo que la fuente no tiene.</w:t>
      </w:r>
    </w:p>
    <w:p>
      <w:pPr>
        <w:keepNext/>
        <w:spacing w:before="220" w:after="100"/>
        <w:jc w:val="left"/>
        <w:pBdr>
          <w:bottom w:val="single" w:sz="6" w:space="3" w:color="C5CEDC"/>
        </w:pBdr>
      </w:pPr>
      <w:r>
        <w:rPr>
          <w:b/>
          <w:color w:val="1F3B63"/>
          <w:sz w:val="26"/>
        </w:rPr>
        <w:t>12.  Análisis de errores</w:t>
      </w:r>
    </w:p>
    <w:p>
      <w:r>
        <w:t xml:space="preserve">Interesa saber </w:t>
      </w:r>
      <w:r>
        <w:rPr>
          <w:b/>
        </w:rPr>
        <w:t>a quién se le escapa el modelo</w:t>
      </w:r>
      <w:r>
        <w:t>. La tabla 17 compara las características medias de los cuatro grupos de la matriz de confusión en el conjunto de prueba.</w:t>
      </w:r>
    </w:p>
    <w:p>
      <w:pPr>
        <w:keepNext/>
        <w:spacing w:before="80" w:after="160"/>
        <w:jc w:val="center"/>
      </w:pPr>
      <w:r>
        <w:rPr>
          <w:b/>
          <w:color w:val="555A62"/>
          <w:sz w:val="17"/>
        </w:rPr>
        <w:t>Tabla 17.</w:t>
      </w:r>
      <w:r>
        <w:rPr>
          <w:color w:val="555A62"/>
          <w:sz w:val="17"/>
        </w:rPr>
        <w:t xml:space="preserve"> Perfil medio de cada grupo de la matriz de confusión en prueba.</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rPr>
          <w:tblHeader w:val="true"/>
        </w:trPr>
        <w:tc>
          <w:tcPr>
            <w:tcW w:type="dxa" w:w="2608"/>
            <w:shd w:val="clear" w:fill="1F3B63"/>
          </w:tcPr>
          <w:p>
            <w:pPr>
              <w:spacing w:after="20" w:before="20"/>
              <w:jc w:val="center"/>
            </w:pPr>
            <w:r/>
            <w:r>
              <w:rPr>
                <w:b/>
                <w:color w:val="FFFFFF"/>
                <w:sz w:val="16"/>
              </w:rPr>
              <w:t>Grupo</w:t>
            </w:r>
          </w:p>
        </w:tc>
        <w:tc>
          <w:tcPr>
            <w:tcW w:type="dxa" w:w="907"/>
            <w:shd w:val="clear" w:fill="1F3B63"/>
          </w:tcPr>
          <w:p>
            <w:pPr>
              <w:spacing w:after="20" w:before="20"/>
              <w:jc w:val="center"/>
            </w:pPr>
            <w:r/>
            <w:r>
              <w:rPr>
                <w:b/>
                <w:color w:val="FFFFFF"/>
                <w:sz w:val="16"/>
              </w:rPr>
              <w:t>n</w:t>
            </w:r>
          </w:p>
        </w:tc>
        <w:tc>
          <w:tcPr>
            <w:tcW w:type="dxa" w:w="1247"/>
            <w:shd w:val="clear" w:fill="1F3B63"/>
          </w:tcPr>
          <w:p>
            <w:pPr>
              <w:spacing w:after="20" w:before="20"/>
              <w:jc w:val="center"/>
            </w:pPr>
            <w:r/>
            <w:r>
              <w:rPr>
                <w:b/>
                <w:color w:val="FFFFFF"/>
                <w:sz w:val="16"/>
              </w:rPr>
              <w:t>Estancia (días)</w:t>
            </w:r>
          </w:p>
        </w:tc>
        <w:tc>
          <w:tcPr>
            <w:tcW w:type="dxa" w:w="1134"/>
            <w:shd w:val="clear" w:fill="1F3B63"/>
          </w:tcPr>
          <w:p>
            <w:pPr>
              <w:spacing w:after="20" w:before="20"/>
              <w:jc w:val="center"/>
            </w:pPr>
            <w:r/>
            <w:r>
              <w:rPr>
                <w:b/>
                <w:color w:val="FFFFFF"/>
                <w:sz w:val="16"/>
              </w:rPr>
              <w:t>Ingresos previos</w:t>
            </w:r>
          </w:p>
        </w:tc>
        <w:tc>
          <w:tcPr>
            <w:tcW w:type="dxa" w:w="1247"/>
            <w:shd w:val="clear" w:fill="1F3B63"/>
          </w:tcPr>
          <w:p>
            <w:pPr>
              <w:spacing w:after="20" w:before="20"/>
              <w:jc w:val="center"/>
            </w:pPr>
            <w:r/>
            <w:r>
              <w:rPr>
                <w:b/>
                <w:color w:val="FFFFFF"/>
                <w:sz w:val="16"/>
              </w:rPr>
              <w:t>Urgencias previas</w:t>
            </w:r>
          </w:p>
        </w:tc>
        <w:tc>
          <w:tcPr>
            <w:tcW w:type="dxa" w:w="1134"/>
            <w:shd w:val="clear" w:fill="1F3B63"/>
          </w:tcPr>
          <w:p>
            <w:pPr>
              <w:spacing w:after="20" w:before="20"/>
              <w:jc w:val="center"/>
            </w:pPr>
            <w:r/>
            <w:r>
              <w:rPr>
                <w:b/>
                <w:color w:val="FFFFFF"/>
                <w:sz w:val="16"/>
              </w:rPr>
              <w:t>Medicamentos</w:t>
            </w:r>
          </w:p>
        </w:tc>
        <w:tc>
          <w:tcPr>
            <w:tcW w:type="dxa" w:w="1077"/>
            <w:shd w:val="clear" w:fill="1F3B63"/>
          </w:tcPr>
          <w:p>
            <w:pPr>
              <w:spacing w:after="20" w:before="20"/>
              <w:jc w:val="center"/>
            </w:pPr>
            <w:r/>
            <w:r>
              <w:rPr>
                <w:b/>
                <w:color w:val="FFFFFF"/>
                <w:sz w:val="16"/>
              </w:rPr>
              <w:t>Diagnósticos</w:t>
            </w:r>
          </w:p>
        </w:tc>
        <w:tc>
          <w:tcPr>
            <w:tcW w:type="dxa" w:w="737"/>
            <w:shd w:val="clear" w:fill="1F3B63"/>
          </w:tcPr>
          <w:p>
            <w:pPr>
              <w:spacing w:after="20" w:before="20"/>
              <w:jc w:val="center"/>
            </w:pPr>
            <w:r/>
            <w:r>
              <w:rPr>
                <w:b/>
                <w:color w:val="FFFFFF"/>
                <w:sz w:val="16"/>
              </w:rPr>
              <w:t>Edad</w:t>
            </w:r>
          </w:p>
        </w:tc>
      </w:tr>
      <w:tr>
        <w:tc>
          <w:tcPr>
            <w:tcW w:type="dxa" w:w="2608"/>
          </w:tcPr>
          <w:p>
            <w:pPr>
              <w:spacing w:after="20" w:before="20"/>
              <w:jc w:val="left"/>
            </w:pPr>
            <w:r/>
            <w:r>
              <w:rPr>
                <w:sz w:val="16"/>
              </w:rPr>
              <w:t>VP · reingreso detectado</w:t>
            </w:r>
          </w:p>
        </w:tc>
        <w:tc>
          <w:tcPr>
            <w:tcW w:type="dxa" w:w="907"/>
          </w:tcPr>
          <w:p>
            <w:pPr>
              <w:spacing w:after="20" w:before="20"/>
              <w:jc w:val="center"/>
            </w:pPr>
            <w:r/>
            <w:r>
              <w:rPr>
                <w:sz w:val="16"/>
              </w:rPr>
              <w:t>1.358</w:t>
            </w:r>
          </w:p>
        </w:tc>
        <w:tc>
          <w:tcPr>
            <w:tcW w:type="dxa" w:w="1247"/>
          </w:tcPr>
          <w:p>
            <w:pPr>
              <w:spacing w:after="20" w:before="20"/>
              <w:jc w:val="center"/>
            </w:pPr>
            <w:r/>
            <w:r>
              <w:rPr>
                <w:sz w:val="16"/>
              </w:rPr>
              <w:t>5,16</w:t>
            </w:r>
          </w:p>
        </w:tc>
        <w:tc>
          <w:tcPr>
            <w:tcW w:type="dxa" w:w="1134"/>
          </w:tcPr>
          <w:p>
            <w:pPr>
              <w:spacing w:after="20" w:before="20"/>
              <w:jc w:val="center"/>
            </w:pPr>
            <w:r/>
            <w:r>
              <w:rPr>
                <w:sz w:val="16"/>
              </w:rPr>
              <w:t>1,89</w:t>
            </w:r>
          </w:p>
        </w:tc>
        <w:tc>
          <w:tcPr>
            <w:tcW w:type="dxa" w:w="1247"/>
          </w:tcPr>
          <w:p>
            <w:pPr>
              <w:spacing w:after="20" w:before="20"/>
              <w:jc w:val="center"/>
            </w:pPr>
            <w:r/>
            <w:r>
              <w:rPr>
                <w:sz w:val="16"/>
              </w:rPr>
              <w:t>0,53</w:t>
            </w:r>
          </w:p>
        </w:tc>
        <w:tc>
          <w:tcPr>
            <w:tcW w:type="dxa" w:w="1134"/>
          </w:tcPr>
          <w:p>
            <w:pPr>
              <w:spacing w:after="20" w:before="20"/>
              <w:jc w:val="center"/>
            </w:pPr>
            <w:r/>
            <w:r>
              <w:rPr>
                <w:sz w:val="16"/>
              </w:rPr>
              <w:t>17,84</w:t>
            </w:r>
          </w:p>
        </w:tc>
        <w:tc>
          <w:tcPr>
            <w:tcW w:type="dxa" w:w="1077"/>
          </w:tcPr>
          <w:p>
            <w:pPr>
              <w:spacing w:after="20" w:before="20"/>
              <w:jc w:val="center"/>
            </w:pPr>
            <w:r/>
            <w:r>
              <w:rPr>
                <w:sz w:val="16"/>
              </w:rPr>
              <w:t>7,84</w:t>
            </w:r>
          </w:p>
        </w:tc>
        <w:tc>
          <w:tcPr>
            <w:tcW w:type="dxa" w:w="737"/>
          </w:tcPr>
          <w:p>
            <w:pPr>
              <w:spacing w:after="20" w:before="20"/>
              <w:jc w:val="center"/>
            </w:pPr>
            <w:r/>
            <w:r>
              <w:rPr>
                <w:sz w:val="16"/>
              </w:rPr>
              <w:t>66,9</w:t>
            </w:r>
          </w:p>
        </w:tc>
      </w:tr>
      <w:tr>
        <w:tc>
          <w:tcPr>
            <w:tcW w:type="dxa" w:w="2608"/>
            <w:shd w:val="clear" w:fill="F7F8FA"/>
          </w:tcPr>
          <w:p>
            <w:pPr>
              <w:spacing w:after="20" w:before="20"/>
              <w:jc w:val="left"/>
            </w:pPr>
            <w:r/>
            <w:r>
              <w:rPr>
                <w:sz w:val="16"/>
              </w:rPr>
              <w:t>FN · reingreso no detectado</w:t>
            </w:r>
          </w:p>
        </w:tc>
        <w:tc>
          <w:tcPr>
            <w:tcW w:type="dxa" w:w="907"/>
            <w:shd w:val="clear" w:fill="F7F8FA"/>
          </w:tcPr>
          <w:p>
            <w:pPr>
              <w:spacing w:after="20" w:before="20"/>
              <w:jc w:val="center"/>
            </w:pPr>
            <w:r/>
            <w:r>
              <w:rPr>
                <w:sz w:val="16"/>
              </w:rPr>
              <w:t>905</w:t>
            </w:r>
          </w:p>
        </w:tc>
        <w:tc>
          <w:tcPr>
            <w:tcW w:type="dxa" w:w="1247"/>
            <w:shd w:val="clear" w:fill="F7F8FA"/>
          </w:tcPr>
          <w:p>
            <w:pPr>
              <w:spacing w:after="20" w:before="20"/>
              <w:jc w:val="center"/>
            </w:pPr>
            <w:r/>
            <w:r>
              <w:rPr>
                <w:sz w:val="16"/>
              </w:rPr>
              <w:t>4,07</w:t>
            </w:r>
          </w:p>
        </w:tc>
        <w:tc>
          <w:tcPr>
            <w:tcW w:type="dxa" w:w="1134"/>
            <w:shd w:val="clear" w:fill="F7F8FA"/>
          </w:tcPr>
          <w:p>
            <w:pPr>
              <w:spacing w:after="20" w:before="20"/>
              <w:jc w:val="center"/>
            </w:pPr>
            <w:r/>
            <w:r>
              <w:rPr>
                <w:sz w:val="16"/>
              </w:rPr>
              <w:t>0,15</w:t>
            </w:r>
          </w:p>
        </w:tc>
        <w:tc>
          <w:tcPr>
            <w:tcW w:type="dxa" w:w="1247"/>
            <w:shd w:val="clear" w:fill="F7F8FA"/>
          </w:tcPr>
          <w:p>
            <w:pPr>
              <w:spacing w:after="20" w:before="20"/>
              <w:jc w:val="center"/>
            </w:pPr>
            <w:r/>
            <w:r>
              <w:rPr>
                <w:sz w:val="16"/>
              </w:rPr>
              <w:t>0,12</w:t>
            </w:r>
          </w:p>
        </w:tc>
        <w:tc>
          <w:tcPr>
            <w:tcW w:type="dxa" w:w="1134"/>
            <w:shd w:val="clear" w:fill="F7F8FA"/>
          </w:tcPr>
          <w:p>
            <w:pPr>
              <w:spacing w:after="20" w:before="20"/>
              <w:jc w:val="center"/>
            </w:pPr>
            <w:r/>
            <w:r>
              <w:rPr>
                <w:sz w:val="16"/>
              </w:rPr>
              <w:t>15,15</w:t>
            </w:r>
          </w:p>
        </w:tc>
        <w:tc>
          <w:tcPr>
            <w:tcW w:type="dxa" w:w="1077"/>
            <w:shd w:val="clear" w:fill="F7F8FA"/>
          </w:tcPr>
          <w:p>
            <w:pPr>
              <w:spacing w:after="20" w:before="20"/>
              <w:jc w:val="center"/>
            </w:pPr>
            <w:r/>
            <w:r>
              <w:rPr>
                <w:sz w:val="16"/>
              </w:rPr>
              <w:t>7,31</w:t>
            </w:r>
          </w:p>
        </w:tc>
        <w:tc>
          <w:tcPr>
            <w:tcW w:type="dxa" w:w="737"/>
            <w:shd w:val="clear" w:fill="F7F8FA"/>
          </w:tcPr>
          <w:p>
            <w:pPr>
              <w:spacing w:after="20" w:before="20"/>
              <w:jc w:val="center"/>
            </w:pPr>
            <w:r/>
            <w:r>
              <w:rPr>
                <w:sz w:val="16"/>
              </w:rPr>
              <w:t>65,8</w:t>
            </w:r>
          </w:p>
        </w:tc>
      </w:tr>
      <w:tr>
        <w:tc>
          <w:tcPr>
            <w:tcW w:type="dxa" w:w="2608"/>
          </w:tcPr>
          <w:p>
            <w:pPr>
              <w:spacing w:after="20" w:before="20"/>
              <w:jc w:val="left"/>
            </w:pPr>
            <w:r/>
            <w:r>
              <w:rPr>
                <w:sz w:val="16"/>
              </w:rPr>
              <w:t>FP · alerta sin reingreso</w:t>
            </w:r>
          </w:p>
        </w:tc>
        <w:tc>
          <w:tcPr>
            <w:tcW w:type="dxa" w:w="907"/>
          </w:tcPr>
          <w:p>
            <w:pPr>
              <w:spacing w:after="20" w:before="20"/>
              <w:jc w:val="center"/>
            </w:pPr>
            <w:r/>
            <w:r>
              <w:rPr>
                <w:sz w:val="16"/>
              </w:rPr>
              <w:t>6.266</w:t>
            </w:r>
          </w:p>
        </w:tc>
        <w:tc>
          <w:tcPr>
            <w:tcW w:type="dxa" w:w="1247"/>
          </w:tcPr>
          <w:p>
            <w:pPr>
              <w:spacing w:after="20" w:before="20"/>
              <w:jc w:val="center"/>
            </w:pPr>
            <w:r/>
            <w:r>
              <w:rPr>
                <w:sz w:val="16"/>
              </w:rPr>
              <w:t>5,16</w:t>
            </w:r>
          </w:p>
        </w:tc>
        <w:tc>
          <w:tcPr>
            <w:tcW w:type="dxa" w:w="1134"/>
          </w:tcPr>
          <w:p>
            <w:pPr>
              <w:spacing w:after="20" w:before="20"/>
              <w:jc w:val="center"/>
            </w:pPr>
            <w:r/>
            <w:r>
              <w:rPr>
                <w:sz w:val="16"/>
              </w:rPr>
              <w:t>1,33</w:t>
            </w:r>
          </w:p>
        </w:tc>
        <w:tc>
          <w:tcPr>
            <w:tcW w:type="dxa" w:w="1247"/>
          </w:tcPr>
          <w:p>
            <w:pPr>
              <w:spacing w:after="20" w:before="20"/>
              <w:jc w:val="center"/>
            </w:pPr>
            <w:r/>
            <w:r>
              <w:rPr>
                <w:sz w:val="16"/>
              </w:rPr>
              <w:t>0,36</w:t>
            </w:r>
          </w:p>
        </w:tc>
        <w:tc>
          <w:tcPr>
            <w:tcW w:type="dxa" w:w="1134"/>
          </w:tcPr>
          <w:p>
            <w:pPr>
              <w:spacing w:after="20" w:before="20"/>
              <w:jc w:val="center"/>
            </w:pPr>
            <w:r/>
            <w:r>
              <w:rPr>
                <w:sz w:val="16"/>
              </w:rPr>
              <w:t>17,80</w:t>
            </w:r>
          </w:p>
        </w:tc>
        <w:tc>
          <w:tcPr>
            <w:tcW w:type="dxa" w:w="1077"/>
          </w:tcPr>
          <w:p>
            <w:pPr>
              <w:spacing w:after="20" w:before="20"/>
              <w:jc w:val="center"/>
            </w:pPr>
            <w:r/>
            <w:r>
              <w:rPr>
                <w:sz w:val="16"/>
              </w:rPr>
              <w:t>7,98</w:t>
            </w:r>
          </w:p>
        </w:tc>
        <w:tc>
          <w:tcPr>
            <w:tcW w:type="dxa" w:w="737"/>
          </w:tcPr>
          <w:p>
            <w:pPr>
              <w:spacing w:after="20" w:before="20"/>
              <w:jc w:val="center"/>
            </w:pPr>
            <w:r/>
            <w:r>
              <w:rPr>
                <w:sz w:val="16"/>
              </w:rPr>
              <w:t>69,3</w:t>
            </w:r>
          </w:p>
        </w:tc>
      </w:tr>
      <w:tr>
        <w:tc>
          <w:tcPr>
            <w:tcW w:type="dxa" w:w="2608"/>
            <w:shd w:val="clear" w:fill="F7F8FA"/>
          </w:tcPr>
          <w:p>
            <w:pPr>
              <w:spacing w:after="20" w:before="20"/>
              <w:jc w:val="left"/>
            </w:pPr>
            <w:r/>
            <w:r>
              <w:rPr>
                <w:sz w:val="16"/>
              </w:rPr>
              <w:t>VN · sin alerta, sin reingreso</w:t>
            </w:r>
          </w:p>
        </w:tc>
        <w:tc>
          <w:tcPr>
            <w:tcW w:type="dxa" w:w="907"/>
            <w:shd w:val="clear" w:fill="F7F8FA"/>
          </w:tcPr>
          <w:p>
            <w:pPr>
              <w:spacing w:after="20" w:before="20"/>
              <w:jc w:val="center"/>
            </w:pPr>
            <w:r/>
            <w:r>
              <w:rPr>
                <w:sz w:val="16"/>
              </w:rPr>
              <w:t>11.341</w:t>
            </w:r>
          </w:p>
        </w:tc>
        <w:tc>
          <w:tcPr>
            <w:tcW w:type="dxa" w:w="1247"/>
            <w:shd w:val="clear" w:fill="F7F8FA"/>
          </w:tcPr>
          <w:p>
            <w:pPr>
              <w:spacing w:after="20" w:before="20"/>
              <w:jc w:val="center"/>
            </w:pPr>
            <w:r/>
            <w:r>
              <w:rPr>
                <w:sz w:val="16"/>
              </w:rPr>
              <w:t>3,87</w:t>
            </w:r>
          </w:p>
        </w:tc>
        <w:tc>
          <w:tcPr>
            <w:tcW w:type="dxa" w:w="1134"/>
            <w:shd w:val="clear" w:fill="F7F8FA"/>
          </w:tcPr>
          <w:p>
            <w:pPr>
              <w:spacing w:after="20" w:before="20"/>
              <w:jc w:val="center"/>
            </w:pPr>
            <w:r/>
            <w:r>
              <w:rPr>
                <w:sz w:val="16"/>
              </w:rPr>
              <w:t>0,11</w:t>
            </w:r>
          </w:p>
        </w:tc>
        <w:tc>
          <w:tcPr>
            <w:tcW w:type="dxa" w:w="1247"/>
            <w:shd w:val="clear" w:fill="F7F8FA"/>
          </w:tcPr>
          <w:p>
            <w:pPr>
              <w:spacing w:after="20" w:before="20"/>
              <w:jc w:val="center"/>
            </w:pPr>
            <w:r/>
            <w:r>
              <w:rPr>
                <w:sz w:val="16"/>
              </w:rPr>
              <w:t>0,08</w:t>
            </w:r>
          </w:p>
        </w:tc>
        <w:tc>
          <w:tcPr>
            <w:tcW w:type="dxa" w:w="1134"/>
            <w:shd w:val="clear" w:fill="F7F8FA"/>
          </w:tcPr>
          <w:p>
            <w:pPr>
              <w:spacing w:after="20" w:before="20"/>
              <w:jc w:val="center"/>
            </w:pPr>
            <w:r/>
            <w:r>
              <w:rPr>
                <w:sz w:val="16"/>
              </w:rPr>
              <w:t>14,84</w:t>
            </w:r>
          </w:p>
        </w:tc>
        <w:tc>
          <w:tcPr>
            <w:tcW w:type="dxa" w:w="1077"/>
            <w:shd w:val="clear" w:fill="F7F8FA"/>
          </w:tcPr>
          <w:p>
            <w:pPr>
              <w:spacing w:after="20" w:before="20"/>
              <w:jc w:val="center"/>
            </w:pPr>
            <w:r/>
            <w:r>
              <w:rPr>
                <w:sz w:val="16"/>
              </w:rPr>
              <w:t>7,01</w:t>
            </w:r>
          </w:p>
        </w:tc>
        <w:tc>
          <w:tcPr>
            <w:tcW w:type="dxa" w:w="737"/>
            <w:shd w:val="clear" w:fill="F7F8FA"/>
          </w:tcPr>
          <w:p>
            <w:pPr>
              <w:spacing w:after="20" w:before="20"/>
              <w:jc w:val="center"/>
            </w:pPr>
            <w:r/>
            <w:r>
              <w:rPr>
                <w:sz w:val="16"/>
              </w:rPr>
              <w:t>63,8</w:t>
            </w:r>
          </w:p>
        </w:tc>
      </w:tr>
    </w:tbl>
    <w:p>
      <w:pPr>
        <w:spacing w:after="0"/>
      </w:pPr>
    </w:p>
    <w:p>
      <w:r>
        <w:t xml:space="preserve">El patrón es nítido. Los </w:t>
      </w:r>
      <w:r>
        <w:rPr>
          <w:b/>
        </w:rPr>
        <w:t>reingresos no detectados (FN)</w:t>
      </w:r>
      <w:r>
        <w:t xml:space="preserve"> se parecen a los pacientes que no reingresan: 0,15 ingresos previos frente a 0,11 de los verdaderos negativos y estancias de 4,07 días frente a 3,87, muy lejos de los 1,89 ingresos previos de los reingresos sí detectados. Son personas que reingresaron </w:t>
      </w:r>
      <w:r>
        <w:rPr>
          <w:b/>
        </w:rPr>
        <w:t>sin presentar el historial que el modelo aprendió a reconocer</w:t>
      </w:r>
      <w:r>
        <w:t xml:space="preserve">. Las </w:t>
      </w:r>
      <w:r>
        <w:rPr>
          <w:b/>
        </w:rPr>
        <w:t>alertas sin reingreso (FP)</w:t>
      </w:r>
      <w:r>
        <w:t xml:space="preserve"> muestran el patrón inverso: 1,33 ingresos previos, 5,16 días de estancia y 17,8 medicamentos, casi idénticos al perfil de los verdaderos positivos. El modelo no se equivoca por azar: identifica a la población de mayor utilización de servicios y, dentro de ella, no logra distinguir quién reingresará.</w:t>
      </w:r>
    </w:p>
    <w:p>
      <w:r>
        <w:t xml:space="preserve">Esto sitúa la limitación donde realmente está: el factor que separa un FN de un VN no se encuentra en la tabla, sino probablemente en el soporte familiar, el acceso al control ambulatorio, la adherencia al tratamiento o la distancia al centro de atención. </w:t>
      </w:r>
      <w:r>
        <w:rPr>
          <w:b/>
        </w:rPr>
        <w:t>No es un problema que se resuelva cambiando de algoritmo.</w:t>
      </w:r>
    </w:p>
    <w:p>
      <w:pPr>
        <w:keepNext/>
        <w:spacing w:before="220" w:after="100"/>
        <w:jc w:val="left"/>
        <w:pBdr>
          <w:bottom w:val="single" w:sz="6" w:space="3" w:color="C5CEDC"/>
        </w:pBdr>
      </w:pPr>
      <w:r>
        <w:rPr>
          <w:b/>
          <w:color w:val="1F3B63"/>
          <w:sz w:val="26"/>
        </w:rPr>
        <w:t>13.  Limitaciones de los resultados</w:t>
      </w:r>
    </w:p>
    <w:p>
      <w:pPr>
        <w:pStyle w:val="ListBullet"/>
        <w:spacing w:after="40"/>
        <w:ind w:left="425"/>
        <w:jc w:val="both"/>
      </w:pPr>
      <w:r>
        <w:rPr>
          <w:b/>
        </w:rPr>
        <w:t>Techo impuesto por la fuente.</w:t>
      </w:r>
      <w:r>
        <w:t xml:space="preserve"> El archivo es una tabla resumida de 1999–2008, sin evolución temporal, notas clínicas, laboratorios detallados ni variables sociales; el análisis de errores sugiere que lo que falta es justamente lo que separaría los falsos de los verdaderos negativos.</w:t>
      </w:r>
    </w:p>
    <w:p>
      <w:pPr>
        <w:pStyle w:val="ListBullet"/>
        <w:spacing w:after="40"/>
        <w:ind w:left="425"/>
        <w:jc w:val="both"/>
      </w:pPr>
      <w:r>
        <w:rPr>
          <w:b/>
        </w:rPr>
        <w:t>Desenlace parcialmente observable y validación solo interna.</w:t>
      </w:r>
      <w:r>
        <w:t xml:space="preserve"> readmitted solo registra reingresos dentro de la red de las 130 instituciones, no distingue reingresos programados de evitables ni indica el día del retorno. Y como el archivo no trae fechas exactas ni identificador de hospital, no fue posible una validación temporal ni externa: no está demostrado que el desempeño se conserve en otro periodo o en otra institución.</w:t>
      </w:r>
    </w:p>
    <w:p>
      <w:pPr>
        <w:pStyle w:val="ListBullet"/>
        <w:spacing w:after="40"/>
        <w:ind w:left="425"/>
        <w:jc w:val="both"/>
      </w:pPr>
      <w:r>
        <w:rPr>
          <w:b/>
        </w:rPr>
        <w:t>Precisión insuficiente para un uso asistencial.</w:t>
      </w:r>
      <w:r>
        <w:t xml:space="preserve"> Con el umbral elegido, cinco de cada seis alertas no corresponden a un reingreso. Un despliegue real exigiría cuantificar el costo de cada tipo de error con profesionales de salud y revisar el umbral según la capacidad de seguimiento.</w:t>
      </w:r>
    </w:p>
    <w:p>
      <w:pPr>
        <w:pStyle w:val="ListBullet"/>
        <w:spacing w:after="40"/>
        <w:ind w:left="425"/>
        <w:jc w:val="both"/>
      </w:pPr>
      <w:r>
        <w:rPr>
          <w:b/>
        </w:rPr>
        <w:t>Alcance poblacional.</w:t>
      </w:r>
      <w:r>
        <w:t xml:space="preserve"> La cohorte son hospitalizaciones con diabetes registrada en Estados Unidos. Los resultados no se presentan como aplicables a otras enfermedades, otros sistemas de salud ni al contexto colombiano.</w:t>
      </w:r>
    </w:p>
    <w:p>
      <w:pPr>
        <w:pStyle w:val="ListBullet"/>
        <w:spacing w:after="40"/>
        <w:ind w:left="425"/>
        <w:jc w:val="both"/>
      </w:pPr>
      <w:r>
        <w:rPr>
          <w:b/>
        </w:rPr>
        <w:t>Análisis pendientes de esta fase.</w:t>
      </w:r>
      <w:r>
        <w:t xml:space="preserve"> No se ejecutaron la red neuronal multicapa opcional, el análisis de sensibilidad excluyendo transferencias entre instituciones ni la revisión de diferencias entre subgrupos demográficos.</w:t>
      </w:r>
    </w:p>
    <w:p>
      <w:pPr>
        <w:keepNext/>
        <w:spacing w:before="220" w:after="100"/>
        <w:jc w:val="left"/>
        <w:pBdr>
          <w:bottom w:val="single" w:sz="6" w:space="3" w:color="C5CEDC"/>
        </w:pBdr>
      </w:pPr>
      <w:r>
        <w:rPr>
          <w:b/>
          <w:color w:val="1F3B63"/>
          <w:sz w:val="26"/>
        </w:rPr>
        <w:t>14.  Reproducibilidad, repositorio y control de versiones</w:t>
      </w:r>
    </w:p>
    <w:p>
      <w:r>
        <w:t xml:space="preserve">El proyecto está publicado en </w:t>
      </w:r>
      <w:r>
        <w:rPr>
          <w:b/>
        </w:rPr>
        <w:t>github.com/MilsyLu/proyecto-aula-reingresos-ia</w:t>
      </w:r>
      <w:r>
        <w:t>. Los cuadernos se ejecutan en orden y cada uno escribe los archivos que el siguiente consume, de modo que el flujo completo es reproducible desde el archivo original. El cuaderno 00 recoge el análisis exploratorio de la Fase 1.</w:t>
      </w:r>
    </w:p>
    <w:p>
      <w:pPr>
        <w:keepNext/>
        <w:spacing w:before="80" w:after="160"/>
        <w:jc w:val="center"/>
      </w:pPr>
      <w:r>
        <w:rPr>
          <w:b/>
          <w:color w:val="555A62"/>
          <w:sz w:val="17"/>
        </w:rPr>
        <w:t>Tabla 18.</w:t>
      </w:r>
      <w:r>
        <w:rPr>
          <w:color w:val="555A62"/>
          <w:sz w:val="17"/>
        </w:rPr>
        <w:t xml:space="preserve"> Cuadernos del repositorio.</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2494"/>
            <w:shd w:val="clear" w:fill="1F3B63"/>
          </w:tcPr>
          <w:p>
            <w:pPr>
              <w:spacing w:after="20" w:before="20"/>
              <w:jc w:val="center"/>
            </w:pPr>
            <w:r/>
            <w:r>
              <w:rPr>
                <w:b/>
                <w:color w:val="FFFFFF"/>
                <w:sz w:val="17"/>
              </w:rPr>
              <w:t>Cuaderno</w:t>
            </w:r>
          </w:p>
        </w:tc>
        <w:tc>
          <w:tcPr>
            <w:tcW w:type="dxa" w:w="3402"/>
            <w:shd w:val="clear" w:fill="1F3B63"/>
          </w:tcPr>
          <w:p>
            <w:pPr>
              <w:spacing w:after="20" w:before="20"/>
              <w:jc w:val="center"/>
            </w:pPr>
            <w:r/>
            <w:r>
              <w:rPr>
                <w:b/>
                <w:color w:val="FFFFFF"/>
                <w:sz w:val="17"/>
              </w:rPr>
              <w:t>Contenido</w:t>
            </w:r>
          </w:p>
        </w:tc>
        <w:tc>
          <w:tcPr>
            <w:tcW w:type="dxa" w:w="3175"/>
            <w:shd w:val="clear" w:fill="1F3B63"/>
          </w:tcPr>
          <w:p>
            <w:pPr>
              <w:spacing w:after="20" w:before="20"/>
              <w:jc w:val="center"/>
            </w:pPr>
            <w:r/>
            <w:r>
              <w:rPr>
                <w:b/>
                <w:color w:val="FFFFFF"/>
                <w:sz w:val="17"/>
              </w:rPr>
              <w:t>Salidas que produce</w:t>
            </w:r>
          </w:p>
        </w:tc>
      </w:tr>
      <w:tr>
        <w:tc>
          <w:tcPr>
            <w:tcW w:type="dxa" w:w="2494"/>
          </w:tcPr>
          <w:p>
            <w:pPr>
              <w:spacing w:after="20" w:before="20"/>
              <w:jc w:val="left"/>
            </w:pPr>
            <w:r/>
            <w:r>
              <w:rPr>
                <w:sz w:val="17"/>
              </w:rPr>
              <w:t>00_EDA_fase1</w:t>
            </w:r>
          </w:p>
        </w:tc>
        <w:tc>
          <w:tcPr>
            <w:tcW w:type="dxa" w:w="3402"/>
          </w:tcPr>
          <w:p>
            <w:pPr>
              <w:spacing w:after="20" w:before="20"/>
              <w:jc w:val="left"/>
            </w:pPr>
            <w:r/>
            <w:r>
              <w:rPr>
                <w:sz w:val="17"/>
              </w:rPr>
              <w:t>Análisis exploratorio de la Fase 1</w:t>
            </w:r>
          </w:p>
        </w:tc>
        <w:tc>
          <w:tcPr>
            <w:tcW w:type="dxa" w:w="3175"/>
          </w:tcPr>
          <w:p>
            <w:pPr>
              <w:spacing w:after="20" w:before="20"/>
              <w:jc w:val="left"/>
            </w:pPr>
            <w:r/>
            <w:r>
              <w:rPr>
                <w:sz w:val="17"/>
              </w:rPr>
              <w:t>figuras y tablas descriptivas</w:t>
            </w:r>
          </w:p>
        </w:tc>
      </w:tr>
      <w:tr>
        <w:tc>
          <w:tcPr>
            <w:tcW w:type="dxa" w:w="2494"/>
            <w:shd w:val="clear" w:fill="F7F8FA"/>
          </w:tcPr>
          <w:p>
            <w:pPr>
              <w:spacing w:after="20" w:before="20"/>
              <w:jc w:val="left"/>
            </w:pPr>
            <w:r/>
            <w:r>
              <w:rPr>
                <w:sz w:val="17"/>
              </w:rPr>
              <w:t>01_preprocesamiento_particion</w:t>
            </w:r>
          </w:p>
        </w:tc>
        <w:tc>
          <w:tcPr>
            <w:tcW w:type="dxa" w:w="3402"/>
            <w:shd w:val="clear" w:fill="F7F8FA"/>
          </w:tcPr>
          <w:p>
            <w:pPr>
              <w:spacing w:after="20" w:before="20"/>
              <w:jc w:val="left"/>
            </w:pPr>
            <w:r/>
            <w:r>
              <w:rPr>
                <w:sz w:val="17"/>
              </w:rPr>
              <w:t>Cohorte, variable objetivo, variables derivadas y partición</w:t>
            </w:r>
          </w:p>
        </w:tc>
        <w:tc>
          <w:tcPr>
            <w:tcW w:type="dxa" w:w="3175"/>
            <w:shd w:val="clear" w:fill="F7F8FA"/>
          </w:tcPr>
          <w:p>
            <w:pPr>
              <w:spacing w:after="20" w:before="20"/>
              <w:jc w:val="left"/>
            </w:pPr>
            <w:r/>
            <w:r>
              <w:rPr>
                <w:sz w:val="17"/>
              </w:rPr>
              <w:t>cohorte_procesada.csv · columnas.json</w:t>
            </w:r>
          </w:p>
        </w:tc>
      </w:tr>
      <w:tr>
        <w:tc>
          <w:tcPr>
            <w:tcW w:type="dxa" w:w="2494"/>
          </w:tcPr>
          <w:p>
            <w:pPr>
              <w:spacing w:after="20" w:before="20"/>
              <w:jc w:val="left"/>
            </w:pPr>
            <w:r/>
            <w:r>
              <w:rPr>
                <w:sz w:val="17"/>
              </w:rPr>
              <w:t>02_modelos_baseline</w:t>
            </w:r>
          </w:p>
        </w:tc>
        <w:tc>
          <w:tcPr>
            <w:tcW w:type="dxa" w:w="3402"/>
          </w:tcPr>
          <w:p>
            <w:pPr>
              <w:spacing w:after="20" w:before="20"/>
              <w:jc w:val="left"/>
            </w:pPr>
            <w:r/>
            <w:r>
              <w:rPr>
                <w:sz w:val="17"/>
              </w:rPr>
              <w:t>Clasificador de referencia y regresión logística</w:t>
            </w:r>
          </w:p>
        </w:tc>
        <w:tc>
          <w:tcPr>
            <w:tcW w:type="dxa" w:w="3175"/>
          </w:tcPr>
          <w:p>
            <w:pPr>
              <w:spacing w:after="20" w:before="20"/>
              <w:jc w:val="left"/>
            </w:pPr>
            <w:r/>
            <w:r>
              <w:rPr>
                <w:sz w:val="17"/>
              </w:rPr>
              <w:t>metricas_02_baseline.csv · 2 figuras</w:t>
            </w:r>
          </w:p>
        </w:tc>
      </w:tr>
      <w:tr>
        <w:tc>
          <w:tcPr>
            <w:tcW w:type="dxa" w:w="2494"/>
            <w:shd w:val="clear" w:fill="F7F8FA"/>
          </w:tcPr>
          <w:p>
            <w:pPr>
              <w:spacing w:after="20" w:before="20"/>
              <w:jc w:val="left"/>
            </w:pPr>
            <w:r/>
            <w:r>
              <w:rPr>
                <w:sz w:val="17"/>
              </w:rPr>
              <w:t>03_hiperparametros</w:t>
            </w:r>
          </w:p>
        </w:tc>
        <w:tc>
          <w:tcPr>
            <w:tcW w:type="dxa" w:w="3402"/>
            <w:shd w:val="clear" w:fill="F7F8FA"/>
          </w:tcPr>
          <w:p>
            <w:pPr>
              <w:spacing w:after="20" w:before="20"/>
              <w:jc w:val="left"/>
            </w:pPr>
            <w:r/>
            <w:r>
              <w:rPr>
                <w:sz w:val="17"/>
              </w:rPr>
              <w:t>Gradient Boosting y búsqueda de hiperparámetros</w:t>
            </w:r>
          </w:p>
        </w:tc>
        <w:tc>
          <w:tcPr>
            <w:tcW w:type="dxa" w:w="3175"/>
            <w:shd w:val="clear" w:fill="F7F8FA"/>
          </w:tcPr>
          <w:p>
            <w:pPr>
              <w:spacing w:after="20" w:before="20"/>
              <w:jc w:val="left"/>
            </w:pPr>
            <w:r/>
            <w:r>
              <w:rPr>
                <w:sz w:val="17"/>
              </w:rPr>
              <w:t>modelo .joblib · busqueda_03 · metricas_03 · 1 figura</w:t>
            </w:r>
          </w:p>
        </w:tc>
      </w:tr>
      <w:tr>
        <w:tc>
          <w:tcPr>
            <w:tcW w:type="dxa" w:w="2494"/>
          </w:tcPr>
          <w:p>
            <w:pPr>
              <w:spacing w:after="20" w:before="20"/>
              <w:jc w:val="left"/>
            </w:pPr>
            <w:r/>
            <w:r>
              <w:rPr>
                <w:sz w:val="17"/>
              </w:rPr>
              <w:t>04_evaluacion_comparada</w:t>
            </w:r>
          </w:p>
        </w:tc>
        <w:tc>
          <w:tcPr>
            <w:tcW w:type="dxa" w:w="3402"/>
          </w:tcPr>
          <w:p>
            <w:pPr>
              <w:spacing w:after="20" w:before="20"/>
              <w:jc w:val="left"/>
            </w:pPr>
            <w:r/>
            <w:r>
              <w:rPr>
                <w:sz w:val="17"/>
              </w:rPr>
              <w:t>Umbral, calibración y evaluación final</w:t>
            </w:r>
          </w:p>
        </w:tc>
        <w:tc>
          <w:tcPr>
            <w:tcW w:type="dxa" w:w="3175"/>
          </w:tcPr>
          <w:p>
            <w:pPr>
              <w:spacing w:after="20" w:before="20"/>
              <w:jc w:val="left"/>
            </w:pPr>
            <w:r/>
            <w:r>
              <w:rPr>
                <w:sz w:val="17"/>
              </w:rPr>
              <w:t>metricas_04_final · umbrales · calibración · 2 figuras</w:t>
            </w:r>
          </w:p>
        </w:tc>
      </w:tr>
    </w:tbl>
    <w:p>
      <w:pPr>
        <w:spacing w:after="0"/>
      </w:pPr>
    </w:p>
    <w:p>
      <w:r>
        <w:t>El control de versiones registra el avance de forma distribuida en el tiempo, no en un único envío. Cada commit corresponde a una unidad de trabajo verificable.</w:t>
      </w:r>
    </w:p>
    <w:p>
      <w:pPr>
        <w:keepNext/>
        <w:spacing w:before="80" w:after="160"/>
        <w:jc w:val="center"/>
      </w:pPr>
      <w:r>
        <w:rPr>
          <w:b/>
          <w:color w:val="555A62"/>
          <w:sz w:val="17"/>
        </w:rPr>
        <w:t>Tabla 19.</w:t>
      </w:r>
      <w:r>
        <w:rPr>
          <w:color w:val="555A62"/>
          <w:sz w:val="17"/>
        </w:rPr>
        <w:t xml:space="preserve"> Historial de commits de la Fase 2.</w:t>
      </w:r>
    </w:p>
    <w:tbl>
      <w:tblPr>
        <w:tblStyle w:val="TableGrid"/>
        <w:tblW w:type="auto" w:w="0"/>
        <w:jc w:val="center"/>
        <w:tblLook w:firstColumn="1" w:firstRow="1" w:lastColumn="0" w:lastRow="0" w:noHBand="0" w:noVBand="1" w:val="04A0"/>
      </w:tblPr>
      <w:tblGrid>
        <w:gridCol w:w="3249"/>
        <w:gridCol w:w="3249"/>
        <w:gridCol w:w="3249"/>
      </w:tblGrid>
      <w:tr>
        <w:trPr>
          <w:tblHeader w:val="true"/>
        </w:trPr>
        <w:tc>
          <w:tcPr>
            <w:tcW w:type="dxa" w:w="1247"/>
            <w:shd w:val="clear" w:fill="1F3B63"/>
          </w:tcPr>
          <w:p>
            <w:pPr>
              <w:spacing w:after="20" w:before="20"/>
              <w:jc w:val="center"/>
            </w:pPr>
            <w:r/>
            <w:r>
              <w:rPr>
                <w:b/>
                <w:color w:val="FFFFFF"/>
                <w:sz w:val="17"/>
              </w:rPr>
              <w:t>Commit</w:t>
            </w:r>
          </w:p>
        </w:tc>
        <w:tc>
          <w:tcPr>
            <w:tcW w:type="dxa" w:w="1928"/>
            <w:shd w:val="clear" w:fill="1F3B63"/>
          </w:tcPr>
          <w:p>
            <w:pPr>
              <w:spacing w:after="20" w:before="20"/>
              <w:jc w:val="center"/>
            </w:pPr>
            <w:r/>
            <w:r>
              <w:rPr>
                <w:b/>
                <w:color w:val="FFFFFF"/>
                <w:sz w:val="17"/>
              </w:rPr>
              <w:t>Fecha</w:t>
            </w:r>
          </w:p>
        </w:tc>
        <w:tc>
          <w:tcPr>
            <w:tcW w:type="dxa" w:w="5896"/>
            <w:shd w:val="clear" w:fill="1F3B63"/>
          </w:tcPr>
          <w:p>
            <w:pPr>
              <w:spacing w:after="20" w:before="20"/>
              <w:jc w:val="center"/>
            </w:pPr>
            <w:r/>
            <w:r>
              <w:rPr>
                <w:b/>
                <w:color w:val="FFFFFF"/>
                <w:sz w:val="17"/>
              </w:rPr>
              <w:t>Descripción</w:t>
            </w:r>
          </w:p>
        </w:tc>
      </w:tr>
      <w:tr>
        <w:tc>
          <w:tcPr>
            <w:tcW w:type="dxa" w:w="1247"/>
          </w:tcPr>
          <w:p>
            <w:pPr>
              <w:spacing w:after="20" w:before="20"/>
              <w:jc w:val="center"/>
            </w:pPr>
            <w:r/>
            <w:r>
              <w:rPr>
                <w:sz w:val="17"/>
              </w:rPr>
              <w:t>070ff41</w:t>
            </w:r>
          </w:p>
        </w:tc>
        <w:tc>
          <w:tcPr>
            <w:tcW w:type="dxa" w:w="1928"/>
          </w:tcPr>
          <w:p>
            <w:pPr>
              <w:spacing w:after="20" w:before="20"/>
              <w:jc w:val="center"/>
            </w:pPr>
            <w:r/>
            <w:r>
              <w:rPr>
                <w:sz w:val="17"/>
              </w:rPr>
              <w:t>27/10/2026  11:41</w:t>
            </w:r>
          </w:p>
        </w:tc>
        <w:tc>
          <w:tcPr>
            <w:tcW w:type="dxa" w:w="5896"/>
          </w:tcPr>
          <w:p>
            <w:pPr>
              <w:spacing w:after="20" w:before="20"/>
              <w:jc w:val="left"/>
            </w:pPr>
            <w:r/>
            <w:r>
              <w:rPr>
                <w:sz w:val="17"/>
              </w:rPr>
              <w:t>Estructura inicial del proyecto y material de la Fase 1</w:t>
            </w:r>
          </w:p>
        </w:tc>
      </w:tr>
      <w:tr>
        <w:tc>
          <w:tcPr>
            <w:tcW w:type="dxa" w:w="1247"/>
            <w:shd w:val="clear" w:fill="F7F8FA"/>
          </w:tcPr>
          <w:p>
            <w:pPr>
              <w:spacing w:after="20" w:before="20"/>
              <w:jc w:val="center"/>
            </w:pPr>
            <w:r/>
            <w:r>
              <w:rPr>
                <w:sz w:val="17"/>
              </w:rPr>
              <w:t>0733df6</w:t>
            </w:r>
          </w:p>
        </w:tc>
        <w:tc>
          <w:tcPr>
            <w:tcW w:type="dxa" w:w="1928"/>
            <w:shd w:val="clear" w:fill="F7F8FA"/>
          </w:tcPr>
          <w:p>
            <w:pPr>
              <w:spacing w:after="20" w:before="20"/>
              <w:jc w:val="center"/>
            </w:pPr>
            <w:r/>
            <w:r>
              <w:rPr>
                <w:sz w:val="17"/>
              </w:rPr>
              <w:t>27/10/2026  13:01</w:t>
            </w:r>
          </w:p>
        </w:tc>
        <w:tc>
          <w:tcPr>
            <w:tcW w:type="dxa" w:w="5896"/>
            <w:shd w:val="clear" w:fill="F7F8FA"/>
          </w:tcPr>
          <w:p>
            <w:pPr>
              <w:spacing w:after="20" w:before="20"/>
              <w:jc w:val="left"/>
            </w:pPr>
            <w:r/>
            <w:r>
              <w:rPr>
                <w:sz w:val="17"/>
              </w:rPr>
              <w:t>Cuaderno 01: preprocesamiento y partición por paciente</w:t>
            </w:r>
          </w:p>
        </w:tc>
      </w:tr>
      <w:tr>
        <w:tc>
          <w:tcPr>
            <w:tcW w:type="dxa" w:w="1247"/>
          </w:tcPr>
          <w:p>
            <w:pPr>
              <w:spacing w:after="20" w:before="20"/>
              <w:jc w:val="center"/>
            </w:pPr>
            <w:r/>
            <w:r>
              <w:rPr>
                <w:sz w:val="17"/>
              </w:rPr>
              <w:t>047f9ff</w:t>
            </w:r>
          </w:p>
        </w:tc>
        <w:tc>
          <w:tcPr>
            <w:tcW w:type="dxa" w:w="1928"/>
          </w:tcPr>
          <w:p>
            <w:pPr>
              <w:spacing w:after="20" w:before="20"/>
              <w:jc w:val="center"/>
            </w:pPr>
            <w:r/>
            <w:r>
              <w:rPr>
                <w:sz w:val="17"/>
              </w:rPr>
              <w:t>27/10/2026  17:42</w:t>
            </w:r>
          </w:p>
        </w:tc>
        <w:tc>
          <w:tcPr>
            <w:tcW w:type="dxa" w:w="5896"/>
          </w:tcPr>
          <w:p>
            <w:pPr>
              <w:spacing w:after="20" w:before="20"/>
              <w:jc w:val="left"/>
            </w:pPr>
            <w:r/>
            <w:r>
              <w:rPr>
                <w:sz w:val="17"/>
              </w:rPr>
              <w:t>Corrige el tipo de los tres códigos administrativos</w:t>
            </w:r>
          </w:p>
        </w:tc>
      </w:tr>
      <w:tr>
        <w:tc>
          <w:tcPr>
            <w:tcW w:type="dxa" w:w="1247"/>
            <w:shd w:val="clear" w:fill="F7F8FA"/>
          </w:tcPr>
          <w:p>
            <w:pPr>
              <w:spacing w:after="20" w:before="20"/>
              <w:jc w:val="center"/>
            </w:pPr>
            <w:r/>
            <w:r>
              <w:rPr>
                <w:sz w:val="17"/>
              </w:rPr>
              <w:t>c4b91d2</w:t>
            </w:r>
          </w:p>
        </w:tc>
        <w:tc>
          <w:tcPr>
            <w:tcW w:type="dxa" w:w="1928"/>
            <w:shd w:val="clear" w:fill="F7F8FA"/>
          </w:tcPr>
          <w:p>
            <w:pPr>
              <w:spacing w:after="20" w:before="20"/>
              <w:jc w:val="center"/>
            </w:pPr>
            <w:r/>
            <w:r>
              <w:rPr>
                <w:sz w:val="17"/>
              </w:rPr>
              <w:t>27/10/2026  17:47</w:t>
            </w:r>
          </w:p>
        </w:tc>
        <w:tc>
          <w:tcPr>
            <w:tcW w:type="dxa" w:w="5896"/>
            <w:shd w:val="clear" w:fill="F7F8FA"/>
          </w:tcPr>
          <w:p>
            <w:pPr>
              <w:spacing w:after="20" w:before="20"/>
              <w:jc w:val="left"/>
            </w:pPr>
            <w:r/>
            <w:r>
              <w:rPr>
                <w:sz w:val="17"/>
              </w:rPr>
              <w:t>Cuaderno 02: modelos de referencia y efecto del umbral</w:t>
            </w:r>
          </w:p>
        </w:tc>
      </w:tr>
      <w:tr>
        <w:tc>
          <w:tcPr>
            <w:tcW w:type="dxa" w:w="1247"/>
          </w:tcPr>
          <w:p>
            <w:pPr>
              <w:spacing w:after="20" w:before="20"/>
              <w:jc w:val="center"/>
            </w:pPr>
            <w:r/>
            <w:r>
              <w:rPr>
                <w:sz w:val="17"/>
              </w:rPr>
              <w:t>7c1692e</w:t>
            </w:r>
          </w:p>
        </w:tc>
        <w:tc>
          <w:tcPr>
            <w:tcW w:type="dxa" w:w="1928"/>
          </w:tcPr>
          <w:p>
            <w:pPr>
              <w:spacing w:after="20" w:before="20"/>
              <w:jc w:val="center"/>
            </w:pPr>
            <w:r/>
            <w:r>
              <w:rPr>
                <w:sz w:val="17"/>
              </w:rPr>
              <w:t>27/10/2026  23:38</w:t>
            </w:r>
          </w:p>
        </w:tc>
        <w:tc>
          <w:tcPr>
            <w:tcW w:type="dxa" w:w="5896"/>
          </w:tcPr>
          <w:p>
            <w:pPr>
              <w:spacing w:after="20" w:before="20"/>
              <w:jc w:val="left"/>
            </w:pPr>
            <w:r/>
            <w:r>
              <w:rPr>
                <w:sz w:val="17"/>
              </w:rPr>
              <w:t>Cuaderno 03: Gradient Boosting y ajuste de hiperparámetros</w:t>
            </w:r>
          </w:p>
        </w:tc>
      </w:tr>
      <w:tr>
        <w:tc>
          <w:tcPr>
            <w:tcW w:type="dxa" w:w="1247"/>
            <w:shd w:val="clear" w:fill="F7F8FA"/>
          </w:tcPr>
          <w:p>
            <w:pPr>
              <w:spacing w:after="20" w:before="20"/>
              <w:jc w:val="center"/>
            </w:pPr>
            <w:r/>
            <w:r>
              <w:rPr>
                <w:sz w:val="17"/>
              </w:rPr>
              <w:t>9047c22</w:t>
            </w:r>
          </w:p>
        </w:tc>
        <w:tc>
          <w:tcPr>
            <w:tcW w:type="dxa" w:w="1928"/>
            <w:shd w:val="clear" w:fill="F7F8FA"/>
          </w:tcPr>
          <w:p>
            <w:pPr>
              <w:spacing w:after="20" w:before="20"/>
              <w:jc w:val="center"/>
            </w:pPr>
            <w:r/>
            <w:r>
              <w:rPr>
                <w:sz w:val="17"/>
              </w:rPr>
              <w:t>28/10/2026  09:00</w:t>
            </w:r>
          </w:p>
        </w:tc>
        <w:tc>
          <w:tcPr>
            <w:tcW w:type="dxa" w:w="5896"/>
            <w:shd w:val="clear" w:fill="F7F8FA"/>
          </w:tcPr>
          <w:p>
            <w:pPr>
              <w:spacing w:after="20" w:before="20"/>
              <w:jc w:val="left"/>
            </w:pPr>
            <w:r/>
            <w:r>
              <w:rPr>
                <w:sz w:val="17"/>
              </w:rPr>
              <w:t>Cuaderno 04: elección del umbral, calibración y evaluación final</w:t>
            </w:r>
          </w:p>
        </w:tc>
      </w:tr>
    </w:tbl>
    <w:p>
      <w:pPr>
        <w:spacing w:after="0"/>
      </w:pPr>
    </w:p>
    <w:p>
      <w:r>
        <w:t xml:space="preserve">Dos decisiones aseguran la reproducibilidad. La partición es </w:t>
      </w:r>
      <w:r>
        <w:rPr>
          <w:b/>
        </w:rPr>
        <w:t>determinista</w:t>
      </w:r>
      <w:r>
        <w:t xml:space="preserve"> —StratifiedGroupKFold sin mezcla aleatoria no depende de ninguna semilla—, y la búsqueda de hiperparámetros y el bootstrap usan </w:t>
      </w:r>
      <w:r>
        <w:rPr>
          <w:b/>
        </w:rPr>
        <w:t>semilla 42</w:t>
      </w:r>
      <w:r>
        <w:t xml:space="preserve"> fijada explícitamente. El archivo de datos original y los artefactos generados se excluyen del repositorio por tamaño mediante .gitignore; el cuaderno 01 los reconstruye.</w:t>
      </w:r>
    </w:p>
    <w:p>
      <w:pPr>
        <w:keepNext/>
        <w:spacing w:before="80" w:after="160"/>
        <w:jc w:val="center"/>
      </w:pPr>
      <w:r>
        <w:rPr>
          <w:b/>
          <w:color w:val="555A62"/>
          <w:sz w:val="17"/>
        </w:rPr>
        <w:t>Tabla 20.</w:t>
      </w:r>
      <w:r>
        <w:rPr>
          <w:color w:val="555A62"/>
          <w:sz w:val="17"/>
        </w:rPr>
        <w:t xml:space="preserve"> Entorno de ejecución.</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041"/>
            <w:shd w:val="clear" w:fill="1F3B63"/>
          </w:tcPr>
          <w:p>
            <w:pPr>
              <w:spacing w:after="20" w:before="20"/>
              <w:jc w:val="center"/>
            </w:pPr>
            <w:r/>
            <w:r>
              <w:rPr>
                <w:b/>
                <w:color w:val="FFFFFF"/>
                <w:sz w:val="17"/>
              </w:rPr>
              <w:t>Componente</w:t>
            </w:r>
          </w:p>
        </w:tc>
        <w:tc>
          <w:tcPr>
            <w:tcW w:type="dxa" w:w="1474"/>
            <w:shd w:val="clear" w:fill="1F3B63"/>
          </w:tcPr>
          <w:p>
            <w:pPr>
              <w:spacing w:after="20" w:before="20"/>
              <w:jc w:val="center"/>
            </w:pPr>
            <w:r/>
            <w:r>
              <w:rPr>
                <w:b/>
                <w:color w:val="FFFFFF"/>
                <w:sz w:val="17"/>
              </w:rPr>
              <w:t>Versión</w:t>
            </w:r>
          </w:p>
        </w:tc>
        <w:tc>
          <w:tcPr>
            <w:tcW w:type="dxa" w:w="2041"/>
            <w:shd w:val="clear" w:fill="1F3B63"/>
          </w:tcPr>
          <w:p>
            <w:pPr>
              <w:spacing w:after="20" w:before="20"/>
              <w:jc w:val="center"/>
            </w:pPr>
            <w:r/>
            <w:r>
              <w:rPr>
                <w:b/>
                <w:color w:val="FFFFFF"/>
                <w:sz w:val="17"/>
              </w:rPr>
              <w:t>Componente</w:t>
            </w:r>
          </w:p>
        </w:tc>
        <w:tc>
          <w:tcPr>
            <w:tcW w:type="dxa" w:w="1474"/>
            <w:shd w:val="clear" w:fill="1F3B63"/>
          </w:tcPr>
          <w:p>
            <w:pPr>
              <w:spacing w:after="20" w:before="20"/>
              <w:jc w:val="center"/>
            </w:pPr>
            <w:r/>
            <w:r>
              <w:rPr>
                <w:b/>
                <w:color w:val="FFFFFF"/>
                <w:sz w:val="17"/>
              </w:rPr>
              <w:t>Versión</w:t>
            </w:r>
          </w:p>
        </w:tc>
      </w:tr>
      <w:tr>
        <w:tc>
          <w:tcPr>
            <w:tcW w:type="dxa" w:w="2041"/>
          </w:tcPr>
          <w:p>
            <w:pPr>
              <w:spacing w:after="20" w:before="20"/>
              <w:jc w:val="left"/>
            </w:pPr>
            <w:r/>
            <w:r>
              <w:rPr>
                <w:sz w:val="17"/>
              </w:rPr>
              <w:t>Python</w:t>
            </w:r>
          </w:p>
        </w:tc>
        <w:tc>
          <w:tcPr>
            <w:tcW w:type="dxa" w:w="1474"/>
          </w:tcPr>
          <w:p>
            <w:pPr>
              <w:spacing w:after="20" w:before="20"/>
              <w:jc w:val="center"/>
            </w:pPr>
            <w:r/>
            <w:r>
              <w:rPr>
                <w:sz w:val="17"/>
              </w:rPr>
              <w:t>3.12.10</w:t>
            </w:r>
          </w:p>
        </w:tc>
        <w:tc>
          <w:tcPr>
            <w:tcW w:type="dxa" w:w="2041"/>
          </w:tcPr>
          <w:p>
            <w:pPr>
              <w:spacing w:after="20" w:before="20"/>
              <w:jc w:val="left"/>
            </w:pPr>
            <w:r/>
            <w:r>
              <w:rPr>
                <w:sz w:val="17"/>
              </w:rPr>
              <w:t>scikit-learn</w:t>
            </w:r>
          </w:p>
        </w:tc>
        <w:tc>
          <w:tcPr>
            <w:tcW w:type="dxa" w:w="1474"/>
          </w:tcPr>
          <w:p>
            <w:pPr>
              <w:spacing w:after="20" w:before="20"/>
              <w:jc w:val="center"/>
            </w:pPr>
            <w:r/>
            <w:r>
              <w:rPr>
                <w:sz w:val="17"/>
              </w:rPr>
              <w:t>1.9.1</w:t>
            </w:r>
          </w:p>
        </w:tc>
      </w:tr>
      <w:tr>
        <w:tc>
          <w:tcPr>
            <w:tcW w:type="dxa" w:w="2041"/>
            <w:shd w:val="clear" w:fill="F7F8FA"/>
          </w:tcPr>
          <w:p>
            <w:pPr>
              <w:spacing w:after="20" w:before="20"/>
              <w:jc w:val="left"/>
            </w:pPr>
            <w:r/>
            <w:r>
              <w:rPr>
                <w:sz w:val="17"/>
              </w:rPr>
              <w:t>pandas</w:t>
            </w:r>
          </w:p>
        </w:tc>
        <w:tc>
          <w:tcPr>
            <w:tcW w:type="dxa" w:w="1474"/>
            <w:shd w:val="clear" w:fill="F7F8FA"/>
          </w:tcPr>
          <w:p>
            <w:pPr>
              <w:spacing w:after="20" w:before="20"/>
              <w:jc w:val="center"/>
            </w:pPr>
            <w:r/>
            <w:r>
              <w:rPr>
                <w:sz w:val="17"/>
              </w:rPr>
              <w:t>3.0.5</w:t>
            </w:r>
          </w:p>
        </w:tc>
        <w:tc>
          <w:tcPr>
            <w:tcW w:type="dxa" w:w="2041"/>
            <w:shd w:val="clear" w:fill="F7F8FA"/>
          </w:tcPr>
          <w:p>
            <w:pPr>
              <w:spacing w:after="20" w:before="20"/>
              <w:jc w:val="left"/>
            </w:pPr>
            <w:r/>
            <w:r>
              <w:rPr>
                <w:sz w:val="17"/>
              </w:rPr>
              <w:t>matplotlib</w:t>
            </w:r>
          </w:p>
        </w:tc>
        <w:tc>
          <w:tcPr>
            <w:tcW w:type="dxa" w:w="1474"/>
            <w:shd w:val="clear" w:fill="F7F8FA"/>
          </w:tcPr>
          <w:p>
            <w:pPr>
              <w:spacing w:after="20" w:before="20"/>
              <w:jc w:val="center"/>
            </w:pPr>
            <w:r/>
            <w:r>
              <w:rPr>
                <w:sz w:val="17"/>
              </w:rPr>
              <w:t>3.11.2</w:t>
            </w:r>
          </w:p>
        </w:tc>
      </w:tr>
      <w:tr>
        <w:tc>
          <w:tcPr>
            <w:tcW w:type="dxa" w:w="2041"/>
          </w:tcPr>
          <w:p>
            <w:pPr>
              <w:spacing w:after="20" w:before="20"/>
              <w:jc w:val="left"/>
            </w:pPr>
            <w:r/>
            <w:r>
              <w:rPr>
                <w:sz w:val="17"/>
              </w:rPr>
              <w:t>NumPy</w:t>
            </w:r>
          </w:p>
        </w:tc>
        <w:tc>
          <w:tcPr>
            <w:tcW w:type="dxa" w:w="1474"/>
          </w:tcPr>
          <w:p>
            <w:pPr>
              <w:spacing w:after="20" w:before="20"/>
              <w:jc w:val="center"/>
            </w:pPr>
            <w:r/>
            <w:r>
              <w:rPr>
                <w:sz w:val="17"/>
              </w:rPr>
              <w:t>2.5.2</w:t>
            </w:r>
          </w:p>
        </w:tc>
        <w:tc>
          <w:tcPr>
            <w:tcW w:type="dxa" w:w="2041"/>
          </w:tcPr>
          <w:p>
            <w:pPr>
              <w:spacing w:after="20" w:before="20"/>
              <w:jc w:val="left"/>
            </w:pPr>
            <w:r/>
            <w:r>
              <w:rPr>
                <w:sz w:val="17"/>
              </w:rPr>
              <w:t>joblib</w:t>
            </w:r>
          </w:p>
        </w:tc>
        <w:tc>
          <w:tcPr>
            <w:tcW w:type="dxa" w:w="1474"/>
          </w:tcPr>
          <w:p>
            <w:pPr>
              <w:spacing w:after="20" w:before="20"/>
              <w:jc w:val="center"/>
            </w:pPr>
            <w:r/>
            <w:r>
              <w:rPr>
                <w:sz w:val="17"/>
              </w:rPr>
              <w:t>1.6.0</w:t>
            </w:r>
          </w:p>
        </w:tc>
      </w:tr>
      <w:tr>
        <w:tc>
          <w:tcPr>
            <w:tcW w:type="dxa" w:w="2041"/>
            <w:shd w:val="clear" w:fill="F7F8FA"/>
          </w:tcPr>
          <w:p>
            <w:pPr>
              <w:spacing w:after="20" w:before="20"/>
              <w:jc w:val="left"/>
            </w:pPr>
            <w:r/>
            <w:r>
              <w:rPr>
                <w:sz w:val="17"/>
              </w:rPr>
              <w:t>SciPy</w:t>
            </w:r>
          </w:p>
        </w:tc>
        <w:tc>
          <w:tcPr>
            <w:tcW w:type="dxa" w:w="1474"/>
            <w:shd w:val="clear" w:fill="F7F8FA"/>
          </w:tcPr>
          <w:p>
            <w:pPr>
              <w:spacing w:after="20" w:before="20"/>
              <w:jc w:val="center"/>
            </w:pPr>
            <w:r/>
            <w:r>
              <w:rPr>
                <w:sz w:val="17"/>
              </w:rPr>
              <w:t>1.18.1</w:t>
            </w:r>
          </w:p>
        </w:tc>
        <w:tc>
          <w:tcPr>
            <w:tcW w:type="dxa" w:w="2041"/>
            <w:shd w:val="clear" w:fill="F7F8FA"/>
          </w:tcPr>
          <w:p>
            <w:pPr>
              <w:spacing w:after="20" w:before="20"/>
              <w:jc w:val="left"/>
            </w:pPr>
            <w:r/>
            <w:r>
              <w:rPr>
                <w:sz w:val="17"/>
              </w:rPr>
              <w:t>—</w:t>
            </w:r>
          </w:p>
        </w:tc>
        <w:tc>
          <w:tcPr>
            <w:tcW w:type="dxa" w:w="1474"/>
            <w:shd w:val="clear" w:fill="F7F8FA"/>
          </w:tcPr>
          <w:p>
            <w:pPr>
              <w:spacing w:after="20" w:before="20"/>
              <w:jc w:val="center"/>
            </w:pPr>
            <w:r/>
            <w:r>
              <w:rPr>
                <w:sz w:val="17"/>
              </w:rPr>
              <w:t>—</w:t>
            </w:r>
          </w:p>
        </w:tc>
      </w:tr>
    </w:tbl>
    <w:p>
      <w:pPr>
        <w:spacing w:after="0"/>
      </w:pPr>
    </w:p>
    <w:p>
      <w:pPr>
        <w:keepNext/>
        <w:spacing w:before="220" w:after="100"/>
        <w:jc w:val="left"/>
        <w:pBdr>
          <w:bottom w:val="single" w:sz="6" w:space="3" w:color="C5CEDC"/>
        </w:pBdr>
      </w:pPr>
      <w:r>
        <w:rPr>
          <w:b/>
          <w:color w:val="1F3B63"/>
          <w:sz w:val="26"/>
        </w:rPr>
        <w:t>15.  Conclusiones</w:t>
      </w:r>
    </w:p>
    <w:p>
      <w:pPr>
        <w:pStyle w:val="ListBullet"/>
        <w:spacing w:after="40"/>
        <w:ind w:left="425"/>
        <w:jc w:val="both"/>
      </w:pPr>
      <w:r>
        <w:t xml:space="preserve">El modelo de Gradient Boosting con hiperparámetros ajustados </w:t>
      </w:r>
      <w:r>
        <w:rPr>
          <w:b/>
        </w:rPr>
        <w:t>supera a la regresión logística y al clasificador de referencia</w:t>
      </w:r>
      <w:r>
        <w:t xml:space="preserve"> en las mismas particiones: AP de 0,2238 frente a 0,2136 y 0,1139 en validación, y AP de 0,2249 con ROC-AUC de 0,6660 en prueba. La mejora frente a la logística es del 4,8 %: real, medible y modesta.</w:t>
      </w:r>
    </w:p>
    <w:p>
      <w:pPr>
        <w:pStyle w:val="ListBullet"/>
        <w:spacing w:after="40"/>
        <w:ind w:left="425"/>
        <w:jc w:val="both"/>
      </w:pPr>
      <w:r>
        <w:t xml:space="preserve">Se cumplieron </w:t>
      </w:r>
      <w:r>
        <w:rPr>
          <w:b/>
        </w:rPr>
        <w:t>tres de las cuatro metas</w:t>
      </w:r>
      <w:r>
        <w:t xml:space="preserve"> cuantitativas de la Fase 1: AP de 1,97 veces la prevalencia, ROC-AUC por encima de 0,65 incluso en el límite inferior de su intervalo y sensibilidad de 0,60. La meta de precisión ≥ 0,20 junto a esa sensibilidad </w:t>
      </w:r>
      <w:r>
        <w:rPr>
          <w:b/>
        </w:rPr>
        <w:t>es inalcanzable con estos datos</w:t>
      </w:r>
      <w:r>
        <w:t>, y se documenta sin modificar el conjunto de prueba.</w:t>
      </w:r>
    </w:p>
    <w:p>
      <w:pPr>
        <w:pStyle w:val="ListBullet"/>
        <w:spacing w:after="40"/>
        <w:ind w:left="425"/>
        <w:jc w:val="both"/>
      </w:pPr>
      <w:r>
        <w:t xml:space="preserve">La </w:t>
      </w:r>
      <w:r>
        <w:rPr>
          <w:b/>
        </w:rPr>
        <w:t>coincidencia entre validación y prueba</w:t>
      </w:r>
      <w:r>
        <w:t xml:space="preserve"> —AP 0,2238 frente a 0,2249, ROC-AUC idéntico— es evidencia de que no hubo sobreajuste en la búsqueda de hiperparámetros ni fuga de información entre conjuntos. La partición agrupada por paciente cumplió su función.</w:t>
      </w:r>
    </w:p>
    <w:p>
      <w:pPr>
        <w:pStyle w:val="ListBullet"/>
        <w:spacing w:after="40"/>
        <w:ind w:left="425"/>
        <w:jc w:val="both"/>
      </w:pPr>
      <w:r>
        <w:t xml:space="preserve">Las </w:t>
      </w:r>
      <w:r>
        <w:rPr>
          <w:b/>
        </w:rPr>
        <w:t>probabilidades están bien calibradas</w:t>
      </w:r>
      <w:r>
        <w:t xml:space="preserve"> (Brier 0,09627; desviaciones inferiores a 0,009 en los diez grupos) y pueden presentarse como estimaciones de riesgo en el tablero de la Fase 3 sin recalibración posterior.</w:t>
      </w:r>
    </w:p>
    <w:p>
      <w:pPr>
        <w:pStyle w:val="ListBullet"/>
        <w:spacing w:after="40"/>
        <w:ind w:left="425"/>
        <w:jc w:val="both"/>
      </w:pPr>
      <w:r>
        <w:t xml:space="preserve">El análisis de errores muestra que </w:t>
      </w:r>
      <w:r>
        <w:rPr>
          <w:b/>
        </w:rPr>
        <w:t>el límite no es algorítmico sino informativo</w:t>
      </w:r>
      <w:r>
        <w:t>: los reingresos no detectados tienen poco historial previo y estancias cortas, y las alertas infundadas comparten el perfil de los reingresos reales. Lo que los separaría no está en el archivo, y por eso el ajuste de hiperparámetros produjo una mejora pequeña.</w:t>
      </w:r>
    </w:p>
    <w:p>
      <w:pPr>
        <w:pStyle w:val="ListBullet"/>
        <w:spacing w:after="40"/>
        <w:ind w:left="425"/>
        <w:jc w:val="both"/>
      </w:pPr>
      <w:r>
        <w:t xml:space="preserve">Los resultados son </w:t>
      </w:r>
      <w:r>
        <w:rPr>
          <w:b/>
        </w:rPr>
        <w:t>consistentes con el estado del arte</w:t>
      </w:r>
      <w:r>
        <w:t xml:space="preserve"> citado en la Fase 1: Frizzell et al. (2017) ya reportaban desempeño modesto y diferencias pequeñas entre métodos tabulares, y la brecha con Rajkomar et al. (2018) se explica por la riqueza de la fuente, no por el algoritmo.</w:t>
      </w:r>
    </w:p>
    <w:p>
      <w:pPr>
        <w:keepNext/>
        <w:spacing w:before="220" w:after="100"/>
        <w:jc w:val="left"/>
        <w:pBdr>
          <w:bottom w:val="single" w:sz="6" w:space="3" w:color="C5CEDC"/>
        </w:pBdr>
      </w:pPr>
      <w:r>
        <w:rPr>
          <w:b/>
          <w:color w:val="1F3B63"/>
          <w:sz w:val="26"/>
        </w:rPr>
        <w:t>16.  Trabajo previsto para la Fase 3</w:t>
      </w:r>
    </w:p>
    <w:p>
      <w:pPr>
        <w:pStyle w:val="ListBullet"/>
        <w:spacing w:after="40"/>
        <w:ind w:left="425"/>
        <w:jc w:val="both"/>
      </w:pPr>
      <w:r>
        <w:rPr>
          <w:b/>
        </w:rPr>
        <w:t>Tablero en Power BI</w:t>
      </w:r>
      <w:r>
        <w:t xml:space="preserve"> alimentado por las tablas que exportan los cuadernos: distribución de probabilidades, frecuencias observadas, métricas del modelo y conteos de pacientes y hospitalizaciones, diferenciando siempre lo observado de lo estimado.</w:t>
      </w:r>
    </w:p>
    <w:p>
      <w:pPr>
        <w:pStyle w:val="ListBullet"/>
        <w:spacing w:after="40"/>
        <w:ind w:left="425"/>
        <w:jc w:val="both"/>
      </w:pPr>
      <w:r>
        <w:rPr>
          <w:b/>
        </w:rPr>
        <w:t>Análisis de diferencias entre subgrupos</w:t>
      </w:r>
      <w:r>
        <w:t xml:space="preserve"> por edad, género y categoría racial, sin atribuirlas a causas biológicas y señalando que excluir race del modelo no elimina el sesgo que otras variables puedan transmitir.</w:t>
      </w:r>
    </w:p>
    <w:p>
      <w:pPr>
        <w:pStyle w:val="ListBullet"/>
        <w:spacing w:after="40"/>
        <w:ind w:left="425"/>
        <w:jc w:val="both"/>
      </w:pPr>
      <w:r>
        <w:rPr>
          <w:b/>
        </w:rPr>
        <w:t>Análisis de sensibilidad</w:t>
      </w:r>
      <w:r>
        <w:t xml:space="preserve"> excluyendo las transferencias entre instituciones, para verificar si la definición de la cohorte altera las conclusiones.</w:t>
      </w:r>
    </w:p>
    <w:p>
      <w:pPr>
        <w:pStyle w:val="ListBullet"/>
        <w:spacing w:after="40"/>
        <w:ind w:left="425"/>
        <w:jc w:val="both"/>
      </w:pPr>
      <w:r>
        <w:rPr>
          <w:b/>
        </w:rPr>
        <w:t>Curva de utilidad del umbral</w:t>
      </w:r>
      <w:r>
        <w:t xml:space="preserve"> que traduzca la compensación de la tabla 12 en términos de capacidad de seguimiento, para discutir el punto de corte con criterios asistenciales y no solo estadísticos, y </w:t>
      </w:r>
      <w:r>
        <w:rPr>
          <w:b/>
        </w:rPr>
        <w:t>red neuronal multicapa</w:t>
      </w:r>
      <w:r>
        <w:t xml:space="preserve"> como extensión opcional si el calendario lo permite.</w:t>
      </w:r>
    </w:p>
    <w:p>
      <w:pPr>
        <w:keepNext/>
        <w:spacing w:before="220" w:after="100"/>
        <w:jc w:val="left"/>
        <w:pBdr>
          <w:bottom w:val="single" w:sz="6" w:space="3" w:color="C5CEDC"/>
        </w:pBdr>
      </w:pPr>
      <w:r>
        <w:rPr>
          <w:b/>
          <w:color w:val="1F3B63"/>
          <w:sz w:val="26"/>
        </w:rPr>
        <w:t>17.  Referencias</w:t>
      </w:r>
    </w:p>
    <w:p>
      <w:pPr>
        <w:spacing w:after="100"/>
        <w:ind w:left="510" w:hanging="510"/>
        <w:jc w:val="both"/>
      </w:pPr>
      <w:r>
        <w:rPr>
          <w:sz w:val="19"/>
        </w:rPr>
        <w:t>Clore, J., Cios, K., DeShazo, J. y Strack, B. (2014). Diabetes 130-US Hospitals for Years 1999-2008 [Conjunto de datos]. UCI Machine Learning Repository. https://doi.org/10.24432/C5230J</w:t>
      </w:r>
    </w:p>
    <w:p>
      <w:pPr>
        <w:spacing w:after="100"/>
        <w:ind w:left="510" w:hanging="510"/>
        <w:jc w:val="both"/>
      </w:pPr>
      <w:r>
        <w:rPr>
          <w:sz w:val="19"/>
        </w:rPr>
        <w:t>Frizzell, J. D., Liang, L., Schulte, P. J., Yancy, C. W., Heidenreich, P. A., Hernandez, A. F. et al. (2017). Prediction of 30-day all-cause readmissions in patients hospitalized for heart failure: Comparison of machine learning and other statistical approaches. JAMA Cardiology, 2(2), 204–209. https://doi.org/10.1001/jamacardio.2016.3956</w:t>
      </w:r>
    </w:p>
    <w:p>
      <w:pPr>
        <w:spacing w:after="100"/>
        <w:ind w:left="510" w:hanging="510"/>
        <w:jc w:val="both"/>
      </w:pPr>
      <w:r>
        <w:rPr>
          <w:sz w:val="19"/>
        </w:rPr>
        <w:t>Rajkomar, A., Oren, E., Chen, K., Dai, A. M., Hajaj, N., Hardt, M. et al. (2018). Scalable and accurate deep learning with electronic health records. npj Digital Medicine, 1, 18. https://doi.org/10.1038/s41746-018-0029-1</w:t>
      </w:r>
    </w:p>
    <w:p>
      <w:pPr>
        <w:spacing w:after="100"/>
        <w:ind w:left="510" w:hanging="510"/>
        <w:jc w:val="both"/>
      </w:pPr>
      <w:r>
        <w:rPr>
          <w:sz w:val="19"/>
        </w:rPr>
        <w:t>Strack, B., DeShazo, J. P., Gennings, C., Olmo, J. L., Ventura, S., Cios, K. J. y Clore, J. N. (2014). Impact of HbA1c measurement on hospital readmission rates: Analysis of 70,000 clinical database patient records. BioMed Research International, 2014, 781670. https://doi.org/10.1155/2014/781670</w:t>
      </w:r>
    </w:p>
    <w:p>
      <w:pPr>
        <w:spacing w:after="100"/>
        <w:ind w:left="510" w:hanging="510"/>
        <w:jc w:val="both"/>
      </w:pPr>
      <w:r>
        <w:rPr>
          <w:sz w:val="19"/>
        </w:rPr>
        <w:t>Pedregosa, F., Varoquaux, G., Gramfort, A., Michel, V., Thirion, B., Grisel, O. et al. (2011). Scikit-learn: Machine learning in Python. Journal of Machine Learning Research, 12, 2825–2830.</w:t>
      </w:r>
    </w:p>
    <w:p>
      <w:pPr>
        <w:spacing w:after="100"/>
        <w:ind w:left="510" w:hanging="510"/>
        <w:jc w:val="both"/>
      </w:pPr>
      <w:r>
        <w:rPr>
          <w:sz w:val="19"/>
        </w:rPr>
        <w:t>Scikit-learn developers. (s. f.). Cross-validation, average_precision_score, precision_recall_curve y probability calibration. Documentación oficial de scikit-learn.</w:t>
      </w:r>
    </w:p>
    <w:sectPr w:rsidR="00FC693F" w:rsidRPr="0006063C" w:rsidSect="00034616">
      <w:footerReference w:type="default" r:id="rId9"/>
      <w:pgSz w:w="12240" w:h="15840"/>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77C85"/>
        <w:sz w:val="16"/>
      </w:rPr>
      <w:t xml:space="preserve">Fase 2 · Predicción de reingresos hospitalarios a 30 días · Grupo 04   |   </w:t>
    </w:r>
    <w:fldSimple w:instr="PAGE">
      <w:r>
        <w:rPr>
          <w:sz w:val="16"/>
          <w:color w:val="777C85"/>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40" w:lineRule="auto"/>
      <w:jc w:val="both"/>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