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0663FC" w14:paraId="57367F4D" w14:textId="77777777">
        <w:tblPrEx>
          <w:tblCellMar>
            <w:top w:w="0" w:type="dxa"/>
            <w:bottom w:w="0" w:type="dxa"/>
          </w:tblCellMar>
        </w:tblPrEx>
        <w:tc>
          <w:tcPr>
            <w:tcW w:w="12240" w:type="dxa"/>
            <w:tcBorders>
              <w:top w:val="nil"/>
              <w:left w:val="nil"/>
              <w:bottom w:val="nil"/>
              <w:right w:val="nil"/>
            </w:tcBorders>
            <w:shd w:val="clear" w:color="auto" w:fill="1A3C5E"/>
            <w:tcMar>
              <w:top w:w="400" w:type="dxa"/>
              <w:left w:w="720" w:type="dxa"/>
              <w:bottom w:w="400" w:type="dxa"/>
              <w:right w:w="720" w:type="dxa"/>
            </w:tcMar>
          </w:tcPr>
          <w:p w14:paraId="38CA3A3C" w14:textId="77777777" w:rsidR="000663FC" w:rsidRDefault="00000000">
            <w:r>
              <w:rPr>
                <w:color w:val="A8C8DE"/>
                <w:sz w:val="18"/>
                <w:szCs w:val="18"/>
              </w:rPr>
              <w:t>UAN · Programación Distribuida del Lado del Cliente</w:t>
            </w:r>
          </w:p>
          <w:p w14:paraId="4128D9C0" w14:textId="77777777" w:rsidR="000663FC" w:rsidRDefault="00000000">
            <w:pPr>
              <w:spacing w:before="80"/>
            </w:pPr>
            <w:r>
              <w:rPr>
                <w:color w:val="7AABCB"/>
                <w:sz w:val="16"/>
                <w:szCs w:val="16"/>
              </w:rPr>
              <w:t>2025–2026</w:t>
            </w:r>
          </w:p>
        </w:tc>
      </w:tr>
    </w:tbl>
    <w:p w14:paraId="60BEA408" w14:textId="77777777" w:rsidR="000663FC" w:rsidRDefault="000663FC">
      <w:pPr>
        <w:spacing w:line="4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0663FC" w14:paraId="15E97128" w14:textId="77777777">
        <w:tblPrEx>
          <w:tblCellMar>
            <w:top w:w="0" w:type="dxa"/>
            <w:bottom w:w="0" w:type="dxa"/>
          </w:tblCellMar>
        </w:tblPrEx>
        <w:tc>
          <w:tcPr>
            <w:tcW w:w="360" w:type="dxa"/>
            <w:tcBorders>
              <w:top w:val="nil"/>
              <w:left w:val="nil"/>
              <w:bottom w:val="nil"/>
              <w:right w:val="nil"/>
            </w:tcBorders>
            <w:shd w:val="clear" w:color="auto" w:fill="2196A6"/>
          </w:tcPr>
          <w:p w14:paraId="0CA7B8CD" w14:textId="77777777" w:rsidR="000663FC" w:rsidRDefault="000663FC"/>
        </w:tc>
        <w:tc>
          <w:tcPr>
            <w:tcW w:w="9000" w:type="dxa"/>
            <w:tcBorders>
              <w:top w:val="nil"/>
              <w:left w:val="nil"/>
              <w:bottom w:val="nil"/>
              <w:right w:val="nil"/>
            </w:tcBorders>
            <w:tcMar>
              <w:top w:w="0" w:type="dxa"/>
              <w:left w:w="320" w:type="dxa"/>
              <w:bottom w:w="0" w:type="dxa"/>
              <w:right w:w="0" w:type="dxa"/>
            </w:tcMar>
          </w:tcPr>
          <w:p w14:paraId="1969478C" w14:textId="77777777" w:rsidR="000663FC" w:rsidRDefault="00000000">
            <w:pPr>
              <w:spacing w:after="60"/>
            </w:pPr>
            <w:r>
              <w:rPr>
                <w:b/>
                <w:bCs/>
                <w:color w:val="2196A6"/>
              </w:rPr>
              <w:t>REPORTE DE</w:t>
            </w:r>
          </w:p>
          <w:p w14:paraId="1F26286C" w14:textId="77777777" w:rsidR="000663FC" w:rsidRDefault="00000000">
            <w:pPr>
              <w:spacing w:after="80"/>
            </w:pPr>
            <w:r>
              <w:rPr>
                <w:color w:val="2196A6"/>
                <w:sz w:val="30"/>
                <w:szCs w:val="30"/>
              </w:rPr>
              <w:t>Retrospectiva de Arquitectura — Hito 2</w:t>
            </w:r>
          </w:p>
        </w:tc>
      </w:tr>
    </w:tbl>
    <w:p w14:paraId="37A6CEAB" w14:textId="77777777" w:rsidR="000663FC" w:rsidRDefault="000663FC">
      <w:pPr>
        <w:spacing w:line="360" w:lineRule="auto"/>
      </w:pPr>
    </w:p>
    <w:p w14:paraId="1553465F" w14:textId="77777777" w:rsidR="000663FC" w:rsidRDefault="000663FC">
      <w:pPr>
        <w:pBdr>
          <w:bottom w:val="single" w:sz="6" w:space="1" w:color="2196A6"/>
        </w:pBdr>
        <w:spacing w:after="160"/>
      </w:pPr>
    </w:p>
    <w:p w14:paraId="36BF7298" w14:textId="77777777" w:rsidR="000663FC" w:rsidRDefault="000663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663FC" w14:paraId="47D8E14D" w14:textId="77777777">
        <w:tblPrEx>
          <w:tblCellMar>
            <w:top w:w="0" w:type="dxa"/>
            <w:bottom w:w="0" w:type="dxa"/>
          </w:tblCellMar>
        </w:tblPrEx>
        <w:tc>
          <w:tcPr>
            <w:tcW w:w="3200" w:type="dxa"/>
            <w:tcBorders>
              <w:top w:val="nil"/>
              <w:left w:val="nil"/>
              <w:bottom w:val="nil"/>
              <w:right w:val="nil"/>
            </w:tcBorders>
            <w:shd w:val="clear" w:color="auto" w:fill="EBF4F8"/>
            <w:tcMar>
              <w:top w:w="100" w:type="dxa"/>
              <w:left w:w="180" w:type="dxa"/>
              <w:bottom w:w="100" w:type="dxa"/>
              <w:right w:w="120" w:type="dxa"/>
            </w:tcMar>
          </w:tcPr>
          <w:p w14:paraId="699C0104" w14:textId="77777777" w:rsidR="000663FC" w:rsidRDefault="00000000">
            <w:r>
              <w:rPr>
                <w:b/>
                <w:bCs/>
                <w:color w:val="1A3C5E"/>
                <w:sz w:val="20"/>
                <w:szCs w:val="20"/>
              </w:rPr>
              <w:t>Estudiante</w:t>
            </w:r>
          </w:p>
        </w:tc>
        <w:tc>
          <w:tcPr>
            <w:tcW w:w="6160" w:type="dxa"/>
            <w:tcBorders>
              <w:top w:val="nil"/>
              <w:left w:val="nil"/>
              <w:bottom w:val="nil"/>
              <w:right w:val="nil"/>
            </w:tcBorders>
            <w:shd w:val="clear" w:color="auto" w:fill="FFFFFF"/>
            <w:tcMar>
              <w:top w:w="100" w:type="dxa"/>
              <w:left w:w="180" w:type="dxa"/>
              <w:bottom w:w="100" w:type="dxa"/>
              <w:right w:w="120" w:type="dxa"/>
            </w:tcMar>
          </w:tcPr>
          <w:p w14:paraId="20DFE174" w14:textId="77777777" w:rsidR="000663FC" w:rsidRDefault="00000000">
            <w:r>
              <w:rPr>
                <w:color w:val="1C1C1E"/>
                <w:sz w:val="20"/>
                <w:szCs w:val="20"/>
              </w:rPr>
              <w:t>Pánuco Castillo Milton Cruz</w:t>
            </w:r>
          </w:p>
        </w:tc>
      </w:tr>
      <w:tr w:rsidR="000663FC" w14:paraId="289C306E" w14:textId="77777777">
        <w:tblPrEx>
          <w:tblCellMar>
            <w:top w:w="0" w:type="dxa"/>
            <w:bottom w:w="0" w:type="dxa"/>
          </w:tblCellMar>
        </w:tblPrEx>
        <w:tc>
          <w:tcPr>
            <w:tcW w:w="3200" w:type="dxa"/>
            <w:tcBorders>
              <w:top w:val="nil"/>
              <w:left w:val="nil"/>
              <w:bottom w:val="nil"/>
              <w:right w:val="nil"/>
            </w:tcBorders>
            <w:shd w:val="clear" w:color="auto" w:fill="FFFFFF"/>
            <w:tcMar>
              <w:top w:w="100" w:type="dxa"/>
              <w:left w:w="180" w:type="dxa"/>
              <w:bottom w:w="100" w:type="dxa"/>
              <w:right w:w="120" w:type="dxa"/>
            </w:tcMar>
          </w:tcPr>
          <w:p w14:paraId="66482FB8" w14:textId="77777777" w:rsidR="000663FC" w:rsidRDefault="00000000">
            <w:r>
              <w:rPr>
                <w:b/>
                <w:bCs/>
                <w:color w:val="1A3C5E"/>
                <w:sz w:val="20"/>
                <w:szCs w:val="20"/>
              </w:rPr>
              <w:t>Curso</w:t>
            </w:r>
          </w:p>
        </w:tc>
        <w:tc>
          <w:tcPr>
            <w:tcW w:w="6160" w:type="dxa"/>
            <w:tcBorders>
              <w:top w:val="nil"/>
              <w:left w:val="nil"/>
              <w:bottom w:val="nil"/>
              <w:right w:val="nil"/>
            </w:tcBorders>
            <w:shd w:val="clear" w:color="auto" w:fill="FFFFFF"/>
            <w:tcMar>
              <w:top w:w="100" w:type="dxa"/>
              <w:left w:w="180" w:type="dxa"/>
              <w:bottom w:w="100" w:type="dxa"/>
              <w:right w:w="120" w:type="dxa"/>
            </w:tcMar>
          </w:tcPr>
          <w:p w14:paraId="7A5BA37F" w14:textId="77777777" w:rsidR="000663FC" w:rsidRDefault="00000000">
            <w:r>
              <w:rPr>
                <w:color w:val="1C1C1E"/>
                <w:sz w:val="20"/>
                <w:szCs w:val="20"/>
              </w:rPr>
              <w:t>Programación Distribuida del Lado del Cliente</w:t>
            </w:r>
          </w:p>
        </w:tc>
      </w:tr>
      <w:tr w:rsidR="000663FC" w14:paraId="6B1917F2" w14:textId="77777777">
        <w:tblPrEx>
          <w:tblCellMar>
            <w:top w:w="0" w:type="dxa"/>
            <w:bottom w:w="0" w:type="dxa"/>
          </w:tblCellMar>
        </w:tblPrEx>
        <w:tc>
          <w:tcPr>
            <w:tcW w:w="3200" w:type="dxa"/>
            <w:tcBorders>
              <w:top w:val="nil"/>
              <w:left w:val="nil"/>
              <w:bottom w:val="nil"/>
              <w:right w:val="nil"/>
            </w:tcBorders>
            <w:shd w:val="clear" w:color="auto" w:fill="EBF4F8"/>
            <w:tcMar>
              <w:top w:w="100" w:type="dxa"/>
              <w:left w:w="180" w:type="dxa"/>
              <w:bottom w:w="100" w:type="dxa"/>
              <w:right w:w="120" w:type="dxa"/>
            </w:tcMar>
          </w:tcPr>
          <w:p w14:paraId="0AFAB804" w14:textId="77777777" w:rsidR="000663FC" w:rsidRDefault="00000000">
            <w:r>
              <w:rPr>
                <w:b/>
                <w:bCs/>
                <w:color w:val="1A3C5E"/>
                <w:sz w:val="20"/>
                <w:szCs w:val="20"/>
              </w:rPr>
              <w:t>Institución</w:t>
            </w:r>
          </w:p>
        </w:tc>
        <w:tc>
          <w:tcPr>
            <w:tcW w:w="6160" w:type="dxa"/>
            <w:tcBorders>
              <w:top w:val="nil"/>
              <w:left w:val="nil"/>
              <w:bottom w:val="nil"/>
              <w:right w:val="nil"/>
            </w:tcBorders>
            <w:shd w:val="clear" w:color="auto" w:fill="FFFFFF"/>
            <w:tcMar>
              <w:top w:w="100" w:type="dxa"/>
              <w:left w:w="180" w:type="dxa"/>
              <w:bottom w:w="100" w:type="dxa"/>
              <w:right w:w="120" w:type="dxa"/>
            </w:tcMar>
          </w:tcPr>
          <w:p w14:paraId="4F7232F1" w14:textId="77777777" w:rsidR="000663FC" w:rsidRDefault="00000000">
            <w:r>
              <w:rPr>
                <w:color w:val="1C1C1E"/>
                <w:sz w:val="20"/>
                <w:szCs w:val="20"/>
              </w:rPr>
              <w:t>Universidad Autónoma de Nayarit (UAN)</w:t>
            </w:r>
          </w:p>
        </w:tc>
      </w:tr>
      <w:tr w:rsidR="000663FC" w14:paraId="259D8902" w14:textId="77777777">
        <w:tblPrEx>
          <w:tblCellMar>
            <w:top w:w="0" w:type="dxa"/>
            <w:bottom w:w="0" w:type="dxa"/>
          </w:tblCellMar>
        </w:tblPrEx>
        <w:tc>
          <w:tcPr>
            <w:tcW w:w="3200" w:type="dxa"/>
            <w:tcBorders>
              <w:top w:val="nil"/>
              <w:left w:val="nil"/>
              <w:bottom w:val="nil"/>
              <w:right w:val="nil"/>
            </w:tcBorders>
            <w:shd w:val="clear" w:color="auto" w:fill="FFFFFF"/>
            <w:tcMar>
              <w:top w:w="100" w:type="dxa"/>
              <w:left w:w="180" w:type="dxa"/>
              <w:bottom w:w="100" w:type="dxa"/>
              <w:right w:w="120" w:type="dxa"/>
            </w:tcMar>
          </w:tcPr>
          <w:p w14:paraId="3CB89B4C" w14:textId="77777777" w:rsidR="000663FC" w:rsidRDefault="00000000">
            <w:r>
              <w:rPr>
                <w:b/>
                <w:bCs/>
                <w:color w:val="1A3C5E"/>
                <w:sz w:val="20"/>
                <w:szCs w:val="20"/>
              </w:rPr>
              <w:t>Documento</w:t>
            </w:r>
          </w:p>
        </w:tc>
        <w:tc>
          <w:tcPr>
            <w:tcW w:w="6160" w:type="dxa"/>
            <w:tcBorders>
              <w:top w:val="nil"/>
              <w:left w:val="nil"/>
              <w:bottom w:val="nil"/>
              <w:right w:val="nil"/>
            </w:tcBorders>
            <w:shd w:val="clear" w:color="auto" w:fill="FFFFFF"/>
            <w:tcMar>
              <w:top w:w="100" w:type="dxa"/>
              <w:left w:w="180" w:type="dxa"/>
              <w:bottom w:w="100" w:type="dxa"/>
              <w:right w:w="120" w:type="dxa"/>
            </w:tcMar>
          </w:tcPr>
          <w:p w14:paraId="112A7A2B" w14:textId="3732FF0C" w:rsidR="000663FC" w:rsidRDefault="00000000">
            <w:r>
              <w:rPr>
                <w:color w:val="1C1C1E"/>
                <w:sz w:val="20"/>
                <w:szCs w:val="20"/>
              </w:rPr>
              <w:t>Retrospectiva de Arquitectura</w:t>
            </w:r>
          </w:p>
        </w:tc>
      </w:tr>
      <w:tr w:rsidR="000663FC" w14:paraId="0125F78E" w14:textId="77777777">
        <w:tblPrEx>
          <w:tblCellMar>
            <w:top w:w="0" w:type="dxa"/>
            <w:bottom w:w="0" w:type="dxa"/>
          </w:tblCellMar>
        </w:tblPrEx>
        <w:tc>
          <w:tcPr>
            <w:tcW w:w="3200" w:type="dxa"/>
            <w:tcBorders>
              <w:top w:val="nil"/>
              <w:left w:val="nil"/>
              <w:bottom w:val="nil"/>
              <w:right w:val="nil"/>
            </w:tcBorders>
            <w:shd w:val="clear" w:color="auto" w:fill="EBF4F8"/>
            <w:tcMar>
              <w:top w:w="100" w:type="dxa"/>
              <w:left w:w="180" w:type="dxa"/>
              <w:bottom w:w="100" w:type="dxa"/>
              <w:right w:w="120" w:type="dxa"/>
            </w:tcMar>
          </w:tcPr>
          <w:p w14:paraId="279DCCD9" w14:textId="77777777" w:rsidR="000663FC" w:rsidRDefault="00000000">
            <w:r>
              <w:rPr>
                <w:b/>
                <w:bCs/>
                <w:color w:val="1A3C5E"/>
                <w:sz w:val="20"/>
                <w:szCs w:val="20"/>
              </w:rPr>
              <w:t>Hito</w:t>
            </w:r>
          </w:p>
        </w:tc>
        <w:tc>
          <w:tcPr>
            <w:tcW w:w="6160" w:type="dxa"/>
            <w:tcBorders>
              <w:top w:val="nil"/>
              <w:left w:val="nil"/>
              <w:bottom w:val="nil"/>
              <w:right w:val="nil"/>
            </w:tcBorders>
            <w:shd w:val="clear" w:color="auto" w:fill="FFFFFF"/>
            <w:tcMar>
              <w:top w:w="100" w:type="dxa"/>
              <w:left w:w="180" w:type="dxa"/>
              <w:bottom w:w="100" w:type="dxa"/>
              <w:right w:w="120" w:type="dxa"/>
            </w:tcMar>
          </w:tcPr>
          <w:p w14:paraId="6BC8605E" w14:textId="77777777" w:rsidR="000663FC" w:rsidRDefault="00000000">
            <w:r>
              <w:rPr>
                <w:color w:val="1C1C1E"/>
                <w:sz w:val="20"/>
                <w:szCs w:val="20"/>
              </w:rPr>
              <w:t>Hito 2 · Auditoría e Integración de Resiliencia</w:t>
            </w:r>
          </w:p>
        </w:tc>
      </w:tr>
    </w:tbl>
    <w:p w14:paraId="2896AA60" w14:textId="77777777" w:rsidR="000663FC" w:rsidRDefault="000663FC">
      <w:pPr>
        <w:spacing w:line="600" w:lineRule="auto"/>
      </w:pPr>
    </w:p>
    <w:p w14:paraId="408AC87C" w14:textId="77777777" w:rsidR="000663FC" w:rsidRDefault="00000000">
      <w:r>
        <w:br w:type="page"/>
      </w:r>
    </w:p>
    <w:p w14:paraId="273A02F5" w14:textId="77777777" w:rsidR="000663FC" w:rsidRDefault="000663FC">
      <w:pPr>
        <w:sectPr w:rsidR="000663FC">
          <w:pgSz w:w="12240" w:h="15840"/>
          <w:pgMar w:top="0" w:right="0" w:bottom="0" w:left="0" w:header="708" w:footer="708" w:gutter="0"/>
          <w:cols w:space="720"/>
          <w:docGrid w:linePitch="360"/>
        </w:sectPr>
      </w:pPr>
    </w:p>
    <w:p w14:paraId="77903689" w14:textId="77777777" w:rsidR="000663FC" w:rsidRDefault="00000000">
      <w:pPr>
        <w:spacing w:after="120"/>
      </w:pPr>
      <w:r>
        <w:rPr>
          <w:b/>
          <w:bCs/>
          <w:color w:val="1A3C5E"/>
          <w:sz w:val="36"/>
          <w:szCs w:val="36"/>
        </w:rPr>
        <w:lastRenderedPageBreak/>
        <w:t>Introducción</w:t>
      </w:r>
    </w:p>
    <w:p w14:paraId="7289152F" w14:textId="77777777" w:rsidR="000663FC" w:rsidRDefault="000663FC">
      <w:pPr>
        <w:pBdr>
          <w:bottom w:val="single" w:sz="8" w:space="1" w:color="2196A6"/>
        </w:pBdr>
        <w:spacing w:after="160"/>
      </w:pPr>
    </w:p>
    <w:p w14:paraId="0FFEB02D" w14:textId="06D0670F" w:rsidR="000663FC" w:rsidRDefault="00000000">
      <w:pPr>
        <w:spacing w:before="80" w:after="80" w:line="360" w:lineRule="auto"/>
        <w:jc w:val="both"/>
      </w:pPr>
      <w:r>
        <w:rPr>
          <w:color w:val="1C1C1E"/>
        </w:rPr>
        <w:t xml:space="preserve">El presente documento constituye el </w:t>
      </w:r>
      <w:proofErr w:type="spellStart"/>
      <w:r>
        <w:rPr>
          <w:color w:val="1C1C1E"/>
        </w:rPr>
        <w:t>reportecorrespondiente</w:t>
      </w:r>
      <w:proofErr w:type="spellEnd"/>
      <w:r>
        <w:rPr>
          <w:color w:val="1C1C1E"/>
        </w:rPr>
        <w:t xml:space="preserve"> al Hito 2 del laboratorio de auditoría e integración de resiliencia del curso de Programación Distribuida del Lado del Cliente. A través de cuatro reflexiones estructuradas, se analizan las decisiones de diseño, los obstáculos técnicos más significativos y las lecciones aprendidas durante el desarrollo del proyecto </w:t>
      </w:r>
      <w:proofErr w:type="spellStart"/>
      <w:r>
        <w:rPr>
          <w:color w:val="1C1C1E"/>
        </w:rPr>
        <w:t>EcoMarket</w:t>
      </w:r>
      <w:proofErr w:type="spellEnd"/>
      <w:r>
        <w:rPr>
          <w:color w:val="1C1C1E"/>
        </w:rPr>
        <w:t xml:space="preserve">, con foco en los patrones de resiliencia implementados: </w:t>
      </w:r>
      <w:proofErr w:type="spellStart"/>
      <w:r>
        <w:rPr>
          <w:color w:val="1C1C1E"/>
        </w:rPr>
        <w:t>Circuit</w:t>
      </w:r>
      <w:proofErr w:type="spellEnd"/>
      <w:r>
        <w:rPr>
          <w:color w:val="1C1C1E"/>
        </w:rPr>
        <w:t xml:space="preserve"> Breaker, JWT y SSE.</w:t>
      </w:r>
    </w:p>
    <w:p w14:paraId="38B96AD1" w14:textId="77777777" w:rsidR="000663FC" w:rsidRDefault="000663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63FC" w14:paraId="56E7950D" w14:textId="77777777">
        <w:tblPrEx>
          <w:tblCellMar>
            <w:top w:w="0" w:type="dxa"/>
            <w:bottom w:w="0" w:type="dxa"/>
          </w:tblCellMar>
        </w:tblPrEx>
        <w:tc>
          <w:tcPr>
            <w:tcW w:w="1200" w:type="dxa"/>
            <w:tcBorders>
              <w:top w:val="nil"/>
              <w:left w:val="nil"/>
              <w:bottom w:val="nil"/>
              <w:right w:val="nil"/>
            </w:tcBorders>
            <w:shd w:val="clear" w:color="auto" w:fill="2196A6"/>
            <w:tcMar>
              <w:top w:w="120" w:type="dxa"/>
              <w:left w:w="140" w:type="dxa"/>
              <w:bottom w:w="120" w:type="dxa"/>
              <w:right w:w="140" w:type="dxa"/>
            </w:tcMar>
            <w:vAlign w:val="center"/>
          </w:tcPr>
          <w:p w14:paraId="3C439DCE" w14:textId="77777777" w:rsidR="000663FC" w:rsidRDefault="00000000">
            <w:pPr>
              <w:jc w:val="center"/>
            </w:pPr>
            <w:r>
              <w:rPr>
                <w:b/>
                <w:bCs/>
                <w:color w:val="FFFFFF"/>
                <w:sz w:val="18"/>
                <w:szCs w:val="18"/>
              </w:rPr>
              <w:t>Objetivo</w:t>
            </w:r>
          </w:p>
        </w:tc>
        <w:tc>
          <w:tcPr>
            <w:tcW w:w="8160" w:type="dxa"/>
            <w:tcBorders>
              <w:top w:val="nil"/>
              <w:left w:val="nil"/>
              <w:bottom w:val="nil"/>
              <w:right w:val="nil"/>
            </w:tcBorders>
            <w:shd w:val="clear" w:color="auto" w:fill="EBF4F8"/>
            <w:tcMar>
              <w:top w:w="120" w:type="dxa"/>
              <w:left w:w="180" w:type="dxa"/>
              <w:bottom w:w="120" w:type="dxa"/>
              <w:right w:w="140" w:type="dxa"/>
            </w:tcMar>
            <w:vAlign w:val="center"/>
          </w:tcPr>
          <w:p w14:paraId="0909C56D" w14:textId="77777777" w:rsidR="000663FC" w:rsidRDefault="00000000">
            <w:pPr>
              <w:spacing w:line="320" w:lineRule="auto"/>
              <w:jc w:val="both"/>
            </w:pPr>
            <w:r>
              <w:rPr>
                <w:color w:val="1C1C1E"/>
                <w:sz w:val="21"/>
                <w:szCs w:val="21"/>
              </w:rPr>
              <w:t>Identificar áreas de mejora en las decisiones arquitectónicas tomadas durante el hito, documentar los obstáculos concretos enfrentados y extraer lecciones que puedan aplicarse en futuros proyectos distribuidos.</w:t>
            </w:r>
          </w:p>
        </w:tc>
      </w:tr>
    </w:tbl>
    <w:p w14:paraId="0D4E053E" w14:textId="77777777" w:rsidR="000663FC" w:rsidRDefault="000663FC">
      <w:pPr>
        <w:spacing w:line="400" w:lineRule="auto"/>
      </w:pPr>
    </w:p>
    <w:p w14:paraId="052BD61F" w14:textId="77777777" w:rsidR="000663FC" w:rsidRDefault="00000000">
      <w:pPr>
        <w:spacing w:before="200" w:after="80"/>
      </w:pPr>
      <w:r>
        <w:rPr>
          <w:b/>
          <w:bCs/>
          <w:color w:val="EBF4F8"/>
          <w:sz w:val="52"/>
          <w:szCs w:val="52"/>
        </w:rPr>
        <w:t>01</w:t>
      </w:r>
    </w:p>
    <w:p w14:paraId="7DC21862" w14:textId="77777777" w:rsidR="000663FC" w:rsidRDefault="00000000">
      <w:pPr>
        <w:spacing w:after="80"/>
      </w:pPr>
      <w:r>
        <w:rPr>
          <w:b/>
          <w:bCs/>
          <w:color w:val="1A3C5E"/>
          <w:sz w:val="36"/>
          <w:szCs w:val="36"/>
        </w:rPr>
        <w:t>Decisión de Diseño Revisitada</w:t>
      </w:r>
    </w:p>
    <w:p w14:paraId="1A2E5F7D" w14:textId="77777777" w:rsidR="000663FC" w:rsidRDefault="00000000">
      <w:pPr>
        <w:spacing w:after="160"/>
      </w:pPr>
      <w:r>
        <w:rPr>
          <w:i/>
          <w:iCs/>
          <w:color w:val="5A6475"/>
        </w:rPr>
        <w:t>¿Qué cambiarías si empezaras el Hito 2 desde cero hoy?</w:t>
      </w:r>
    </w:p>
    <w:p w14:paraId="001209DE" w14:textId="77777777" w:rsidR="000663FC" w:rsidRDefault="000663FC">
      <w:pPr>
        <w:pBdr>
          <w:bottom w:val="single" w:sz="8" w:space="1" w:color="2196A6"/>
        </w:pBdr>
        <w:spacing w:after="160"/>
      </w:pPr>
    </w:p>
    <w:p w14:paraId="4F1139C0" w14:textId="77777777" w:rsidR="000663FC" w:rsidRDefault="00000000">
      <w:pPr>
        <w:spacing w:before="80" w:after="80" w:line="360" w:lineRule="auto"/>
        <w:jc w:val="both"/>
      </w:pPr>
      <w:r>
        <w:rPr>
          <w:color w:val="1C1C1E"/>
        </w:rPr>
        <w:t xml:space="preserve">Si el desarrollo del Hito 2 comenzara de nuevo con el conocimiento actual, la decisión más importante a reconsiderar sería la arquitectura del servidor </w:t>
      </w:r>
      <w:proofErr w:type="spellStart"/>
      <w:r>
        <w:rPr>
          <w:color w:val="1C1C1E"/>
        </w:rPr>
        <w:t>mock</w:t>
      </w:r>
      <w:proofErr w:type="spellEnd"/>
      <w:r>
        <w:rPr>
          <w:color w:val="1C1C1E"/>
        </w:rPr>
        <w:t xml:space="preserve"> de pruebas. En lugar de concentrar toda la simulación en un único archivo asíncrono de </w:t>
      </w:r>
      <w:proofErr w:type="spellStart"/>
      <w:r>
        <w:rPr>
          <w:color w:val="1C1C1E"/>
        </w:rPr>
        <w:t>aiohttp</w:t>
      </w:r>
      <w:proofErr w:type="spellEnd"/>
      <w:r>
        <w:rPr>
          <w:color w:val="1C1C1E"/>
        </w:rPr>
        <w:t xml:space="preserve"> compartiendo el mismo puerto, se separaría el </w:t>
      </w:r>
      <w:proofErr w:type="spellStart"/>
      <w:r>
        <w:rPr>
          <w:color w:val="1C1C1E"/>
        </w:rPr>
        <w:t>backend</w:t>
      </w:r>
      <w:proofErr w:type="spellEnd"/>
      <w:r>
        <w:rPr>
          <w:color w:val="1C1C1E"/>
        </w:rPr>
        <w:t xml:space="preserve"> en dos servidores independientes, ejecutándose en subprocesos o puertos distintos:</w:t>
      </w:r>
    </w:p>
    <w:p w14:paraId="62E16C1E" w14:textId="77777777" w:rsidR="000663FC" w:rsidRDefault="000663FC">
      <w:pPr>
        <w:spacing w:line="120" w:lineRule="auto"/>
      </w:pPr>
    </w:p>
    <w:p w14:paraId="7CFD9B8D" w14:textId="77777777" w:rsidR="000663FC" w:rsidRDefault="00000000">
      <w:pPr>
        <w:pStyle w:val="Prrafodelista"/>
        <w:numPr>
          <w:ilvl w:val="0"/>
          <w:numId w:val="2"/>
        </w:numPr>
        <w:spacing w:before="60" w:after="60" w:line="320" w:lineRule="auto"/>
      </w:pPr>
      <w:r>
        <w:rPr>
          <w:color w:val="1C1C1E"/>
        </w:rPr>
        <w:t>Un servidor exclusivo para la autenticación (/</w:t>
      </w:r>
      <w:proofErr w:type="spellStart"/>
      <w:r>
        <w:rPr>
          <w:color w:val="1C1C1E"/>
        </w:rPr>
        <w:t>auth</w:t>
      </w:r>
      <w:proofErr w:type="spellEnd"/>
      <w:r>
        <w:rPr>
          <w:color w:val="1C1C1E"/>
        </w:rPr>
        <w:t>/</w:t>
      </w:r>
      <w:proofErr w:type="spellStart"/>
      <w:r>
        <w:rPr>
          <w:color w:val="1C1C1E"/>
        </w:rPr>
        <w:t>login</w:t>
      </w:r>
      <w:proofErr w:type="spellEnd"/>
      <w:r>
        <w:rPr>
          <w:color w:val="1C1C1E"/>
        </w:rPr>
        <w:t>).</w:t>
      </w:r>
    </w:p>
    <w:p w14:paraId="28457C91" w14:textId="77777777" w:rsidR="000663FC" w:rsidRDefault="00000000">
      <w:pPr>
        <w:pStyle w:val="Prrafodelista"/>
        <w:numPr>
          <w:ilvl w:val="0"/>
          <w:numId w:val="2"/>
        </w:numPr>
        <w:spacing w:before="60" w:after="60" w:line="320" w:lineRule="auto"/>
      </w:pPr>
      <w:r>
        <w:rPr>
          <w:color w:val="1C1C1E"/>
        </w:rPr>
        <w:t>Un servidor exclusivo para las rutas de datos (/api/inventario).</w:t>
      </w:r>
    </w:p>
    <w:p w14:paraId="0CC88266" w14:textId="77777777" w:rsidR="000663FC" w:rsidRDefault="000663FC">
      <w:pPr>
        <w:spacing w:line="160" w:lineRule="auto"/>
      </w:pPr>
    </w:p>
    <w:p w14:paraId="033F2D9E" w14:textId="77777777" w:rsidR="000663FC" w:rsidRDefault="00000000">
      <w:pPr>
        <w:spacing w:before="80" w:after="80" w:line="360" w:lineRule="auto"/>
        <w:jc w:val="both"/>
      </w:pPr>
      <w:r>
        <w:rPr>
          <w:color w:val="1C1C1E"/>
        </w:rPr>
        <w:t xml:space="preserve">El enfoque unificado que se adoptó originalmente provocó complicaciones innecesarias al momento de validar los cortes de red. Con la comprensión actual del ciclo de vida de los estados del circuito, tener ambos servicios acoplados en el mismo proceso del </w:t>
      </w:r>
      <w:proofErr w:type="spellStart"/>
      <w:r>
        <w:rPr>
          <w:color w:val="1C1C1E"/>
        </w:rPr>
        <w:t>mock</w:t>
      </w:r>
      <w:proofErr w:type="spellEnd"/>
      <w:r>
        <w:rPr>
          <w:color w:val="1C1C1E"/>
        </w:rPr>
        <w:t xml:space="preserve"> dificulta inyectar fallas simuladas de red —como un HTTP 503 o un retraso por </w:t>
      </w:r>
      <w:proofErr w:type="spellStart"/>
      <w:r>
        <w:rPr>
          <w:color w:val="1C1C1E"/>
        </w:rPr>
        <w:t>timeout</w:t>
      </w:r>
      <w:proofErr w:type="spellEnd"/>
      <w:r>
        <w:rPr>
          <w:color w:val="1C1C1E"/>
        </w:rPr>
        <w:t xml:space="preserve">— sin afectar colateralmente la disponibilidad de las llamadas de </w:t>
      </w:r>
      <w:proofErr w:type="spellStart"/>
      <w:r>
        <w:rPr>
          <w:color w:val="1C1C1E"/>
        </w:rPr>
        <w:t>refresh</w:t>
      </w:r>
      <w:proofErr w:type="spellEnd"/>
      <w:r>
        <w:rPr>
          <w:color w:val="1C1C1E"/>
        </w:rPr>
        <w:t xml:space="preserve"> de tokens.</w:t>
      </w:r>
    </w:p>
    <w:p w14:paraId="29C5C078" w14:textId="77777777" w:rsidR="000663FC" w:rsidRDefault="000663FC">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63FC" w14:paraId="798EE71D" w14:textId="77777777">
        <w:tblPrEx>
          <w:tblCellMar>
            <w:top w:w="0" w:type="dxa"/>
            <w:bottom w:w="0" w:type="dxa"/>
          </w:tblCellMar>
        </w:tblPrEx>
        <w:tc>
          <w:tcPr>
            <w:tcW w:w="1200" w:type="dxa"/>
            <w:tcBorders>
              <w:top w:val="nil"/>
              <w:left w:val="nil"/>
              <w:bottom w:val="nil"/>
              <w:right w:val="nil"/>
            </w:tcBorders>
            <w:shd w:val="clear" w:color="auto" w:fill="27AE60"/>
            <w:tcMar>
              <w:top w:w="120" w:type="dxa"/>
              <w:left w:w="140" w:type="dxa"/>
              <w:bottom w:w="120" w:type="dxa"/>
              <w:right w:w="140" w:type="dxa"/>
            </w:tcMar>
            <w:vAlign w:val="center"/>
          </w:tcPr>
          <w:p w14:paraId="22758CAC" w14:textId="77777777" w:rsidR="000663FC" w:rsidRDefault="00000000">
            <w:pPr>
              <w:jc w:val="center"/>
            </w:pPr>
            <w:r>
              <w:rPr>
                <w:b/>
                <w:bCs/>
                <w:color w:val="FFFFFF"/>
                <w:sz w:val="18"/>
                <w:szCs w:val="18"/>
              </w:rPr>
              <w:t>Lección clave</w:t>
            </w:r>
          </w:p>
        </w:tc>
        <w:tc>
          <w:tcPr>
            <w:tcW w:w="8160" w:type="dxa"/>
            <w:tcBorders>
              <w:top w:val="nil"/>
              <w:left w:val="nil"/>
              <w:bottom w:val="nil"/>
              <w:right w:val="nil"/>
            </w:tcBorders>
            <w:shd w:val="clear" w:color="auto" w:fill="EAF7EE"/>
            <w:tcMar>
              <w:top w:w="120" w:type="dxa"/>
              <w:left w:w="180" w:type="dxa"/>
              <w:bottom w:w="120" w:type="dxa"/>
              <w:right w:w="140" w:type="dxa"/>
            </w:tcMar>
            <w:vAlign w:val="center"/>
          </w:tcPr>
          <w:p w14:paraId="12A25B22" w14:textId="77777777" w:rsidR="000663FC" w:rsidRDefault="00000000">
            <w:pPr>
              <w:spacing w:line="320" w:lineRule="auto"/>
              <w:jc w:val="both"/>
            </w:pPr>
            <w:r>
              <w:rPr>
                <w:color w:val="1C1C1E"/>
                <w:sz w:val="21"/>
                <w:szCs w:val="21"/>
              </w:rPr>
              <w:t>Separar los servicios desde el inicio habría hecho que las pruebas de resiliencia cruzada fueran significativamente más limpias y más fáciles de depurar, favoreciendo una validación de invariantes más precisa y controlada.</w:t>
            </w:r>
          </w:p>
        </w:tc>
      </w:tr>
    </w:tbl>
    <w:p w14:paraId="7A45337A" w14:textId="77777777" w:rsidR="000663FC" w:rsidRDefault="000663FC">
      <w:pPr>
        <w:spacing w:line="400" w:lineRule="auto"/>
      </w:pPr>
    </w:p>
    <w:p w14:paraId="4BD4B78C" w14:textId="77777777" w:rsidR="000663FC" w:rsidRDefault="00000000">
      <w:pPr>
        <w:spacing w:before="200" w:after="80"/>
      </w:pPr>
      <w:r>
        <w:rPr>
          <w:b/>
          <w:bCs/>
          <w:color w:val="EBF4F8"/>
          <w:sz w:val="52"/>
          <w:szCs w:val="52"/>
        </w:rPr>
        <w:lastRenderedPageBreak/>
        <w:t>02</w:t>
      </w:r>
    </w:p>
    <w:p w14:paraId="3A9242D0" w14:textId="77777777" w:rsidR="000663FC" w:rsidRDefault="00000000">
      <w:pPr>
        <w:spacing w:after="80"/>
      </w:pPr>
      <w:r>
        <w:rPr>
          <w:b/>
          <w:bCs/>
          <w:color w:val="1A3C5E"/>
          <w:sz w:val="36"/>
          <w:szCs w:val="36"/>
        </w:rPr>
        <w:t>El Invariante Más Difícil</w:t>
      </w:r>
    </w:p>
    <w:p w14:paraId="1819EDF2" w14:textId="77777777" w:rsidR="000663FC" w:rsidRDefault="00000000">
      <w:pPr>
        <w:spacing w:after="160"/>
      </w:pPr>
      <w:r>
        <w:rPr>
          <w:i/>
          <w:iCs/>
          <w:color w:val="5A6475"/>
        </w:rPr>
        <w:t>Obstáculo concreto: qué fallaba y por qué</w:t>
      </w:r>
    </w:p>
    <w:p w14:paraId="35CA2239" w14:textId="77777777" w:rsidR="000663FC" w:rsidRDefault="000663FC">
      <w:pPr>
        <w:pBdr>
          <w:bottom w:val="single" w:sz="8" w:space="1" w:color="2196A6"/>
        </w:pBdr>
        <w:spacing w:after="160"/>
      </w:pPr>
    </w:p>
    <w:p w14:paraId="268FBF39" w14:textId="6AFF4541" w:rsidR="000663FC" w:rsidRDefault="00000000">
      <w:pPr>
        <w:spacing w:before="80" w:after="80" w:line="360" w:lineRule="auto"/>
        <w:jc w:val="both"/>
      </w:pPr>
      <w:r>
        <w:rPr>
          <w:color w:val="1C1C1E"/>
        </w:rPr>
        <w:t xml:space="preserve">De </w:t>
      </w:r>
      <w:r w:rsidR="004734DA">
        <w:rPr>
          <w:color w:val="1C1C1E"/>
        </w:rPr>
        <w:t>las siete invariantes definidas</w:t>
      </w:r>
      <w:r>
        <w:rPr>
          <w:color w:val="1C1C1E"/>
        </w:rPr>
        <w:t xml:space="preserve"> para el proyecto, el que demandó mayor esfuerzo fue el INV-B3, cuya definición exige que, ante múltiples peticiones concurrentes con tokens expirados, únicamente un proceso de </w:t>
      </w:r>
      <w:proofErr w:type="spellStart"/>
      <w:r>
        <w:rPr>
          <w:color w:val="1C1C1E"/>
        </w:rPr>
        <w:t>refresh</w:t>
      </w:r>
      <w:proofErr w:type="spellEnd"/>
      <w:r>
        <w:rPr>
          <w:color w:val="1C1C1E"/>
        </w:rPr>
        <w:t xml:space="preserve"> se ejecute mediante el patrón </w:t>
      </w:r>
      <w:proofErr w:type="spellStart"/>
      <w:r>
        <w:rPr>
          <w:color w:val="1C1C1E"/>
        </w:rPr>
        <w:t>singleton</w:t>
      </w:r>
      <w:proofErr w:type="spellEnd"/>
      <w:r>
        <w:rPr>
          <w:color w:val="1C1C1E"/>
        </w:rPr>
        <w:t>.</w:t>
      </w:r>
    </w:p>
    <w:p w14:paraId="73A7B15D" w14:textId="77777777" w:rsidR="000663FC" w:rsidRDefault="000663FC">
      <w:pPr>
        <w:spacing w:line="2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63FC" w14:paraId="6486850F" w14:textId="77777777">
        <w:tblPrEx>
          <w:tblCellMar>
            <w:top w:w="0" w:type="dxa"/>
            <w:bottom w:w="0" w:type="dxa"/>
          </w:tblCellMar>
        </w:tblPrEx>
        <w:tc>
          <w:tcPr>
            <w:tcW w:w="9360" w:type="dxa"/>
            <w:tcBorders>
              <w:top w:val="single" w:sz="1" w:space="0" w:color="2196A6"/>
              <w:left w:val="single" w:sz="16" w:space="0" w:color="2196A6"/>
              <w:bottom w:val="single" w:sz="1" w:space="0" w:color="2196A6"/>
              <w:right w:val="nil"/>
            </w:tcBorders>
            <w:shd w:val="clear" w:color="auto" w:fill="EBF4F8"/>
            <w:tcMar>
              <w:top w:w="140" w:type="dxa"/>
              <w:left w:w="240" w:type="dxa"/>
              <w:bottom w:w="140" w:type="dxa"/>
              <w:right w:w="200" w:type="dxa"/>
            </w:tcMar>
          </w:tcPr>
          <w:p w14:paraId="034C3DD1" w14:textId="77777777" w:rsidR="000663FC" w:rsidRDefault="00000000">
            <w:pPr>
              <w:spacing w:after="40"/>
            </w:pPr>
            <w:r>
              <w:rPr>
                <w:b/>
                <w:bCs/>
                <w:color w:val="2196A6"/>
                <w:sz w:val="20"/>
                <w:szCs w:val="20"/>
              </w:rPr>
              <w:t xml:space="preserve">INV-B3 — </w:t>
            </w:r>
            <w:proofErr w:type="spellStart"/>
            <w:r>
              <w:rPr>
                <w:b/>
                <w:bCs/>
                <w:color w:val="2196A6"/>
                <w:sz w:val="20"/>
                <w:szCs w:val="20"/>
              </w:rPr>
              <w:t>Singleton</w:t>
            </w:r>
            <w:proofErr w:type="spellEnd"/>
            <w:r>
              <w:rPr>
                <w:b/>
                <w:bCs/>
                <w:color w:val="2196A6"/>
                <w:sz w:val="20"/>
                <w:szCs w:val="20"/>
              </w:rPr>
              <w:t xml:space="preserve"> de </w:t>
            </w:r>
            <w:proofErr w:type="spellStart"/>
            <w:r>
              <w:rPr>
                <w:b/>
                <w:bCs/>
                <w:color w:val="2196A6"/>
                <w:sz w:val="20"/>
                <w:szCs w:val="20"/>
              </w:rPr>
              <w:t>Refresh</w:t>
            </w:r>
            <w:proofErr w:type="spellEnd"/>
          </w:p>
          <w:p w14:paraId="1EEC2650" w14:textId="77777777" w:rsidR="000663FC" w:rsidRDefault="00000000">
            <w:pPr>
              <w:spacing w:line="320" w:lineRule="auto"/>
              <w:jc w:val="both"/>
            </w:pPr>
            <w:r>
              <w:rPr>
                <w:i/>
                <w:iCs/>
                <w:color w:val="1C1C1E"/>
                <w:sz w:val="20"/>
                <w:szCs w:val="20"/>
              </w:rPr>
              <w:t xml:space="preserve">Con múltiples peticiones concurrentes expiradas, solo un </w:t>
            </w:r>
            <w:proofErr w:type="spellStart"/>
            <w:r>
              <w:rPr>
                <w:i/>
                <w:iCs/>
                <w:color w:val="1C1C1E"/>
                <w:sz w:val="20"/>
                <w:szCs w:val="20"/>
              </w:rPr>
              <w:t>refresh</w:t>
            </w:r>
            <w:proofErr w:type="spellEnd"/>
            <w:r>
              <w:rPr>
                <w:i/>
                <w:iCs/>
                <w:color w:val="1C1C1E"/>
                <w:sz w:val="20"/>
                <w:szCs w:val="20"/>
              </w:rPr>
              <w:t xml:space="preserve"> se ejecuta mediante el patrón </w:t>
            </w:r>
            <w:proofErr w:type="spellStart"/>
            <w:r>
              <w:rPr>
                <w:i/>
                <w:iCs/>
                <w:color w:val="1C1C1E"/>
                <w:sz w:val="20"/>
                <w:szCs w:val="20"/>
              </w:rPr>
              <w:t>singleton</w:t>
            </w:r>
            <w:proofErr w:type="spellEnd"/>
            <w:r>
              <w:rPr>
                <w:i/>
                <w:iCs/>
                <w:color w:val="1C1C1E"/>
                <w:sz w:val="20"/>
                <w:szCs w:val="20"/>
              </w:rPr>
              <w:t>.</w:t>
            </w:r>
          </w:p>
        </w:tc>
      </w:tr>
    </w:tbl>
    <w:p w14:paraId="17AB718F" w14:textId="77777777" w:rsidR="000663FC" w:rsidRDefault="000663FC"/>
    <w:p w14:paraId="27303E03" w14:textId="77777777" w:rsidR="000663FC" w:rsidRDefault="00000000">
      <w:pPr>
        <w:spacing w:before="80" w:after="80" w:line="360" w:lineRule="auto"/>
        <w:jc w:val="both"/>
      </w:pPr>
      <w:r>
        <w:rPr>
          <w:color w:val="1C1C1E"/>
        </w:rPr>
        <w:t xml:space="preserve">El obstáculo concreto se manifestó en el manejo de la concurrencia asíncrona real en Python cuando varias peticiones de la interfaz de usuario se disparaban simultáneamente mediante </w:t>
      </w:r>
      <w:proofErr w:type="spellStart"/>
      <w:proofErr w:type="gramStart"/>
      <w:r>
        <w:rPr>
          <w:color w:val="1C1C1E"/>
        </w:rPr>
        <w:t>asyncio.gather</w:t>
      </w:r>
      <w:proofErr w:type="spellEnd"/>
      <w:proofErr w:type="gramEnd"/>
      <w:r>
        <w:rPr>
          <w:color w:val="1C1C1E"/>
        </w:rPr>
        <w:t xml:space="preserve">(). Al principio, cuando el token de la usuaria Ana estaba próximo a expirar, cada petición paralela entraba de forma casi simultánea al método </w:t>
      </w:r>
      <w:proofErr w:type="spellStart"/>
      <w:r>
        <w:rPr>
          <w:color w:val="1C1C1E"/>
        </w:rPr>
        <w:t>realizar_</w:t>
      </w:r>
      <w:proofErr w:type="gramStart"/>
      <w:r>
        <w:rPr>
          <w:color w:val="1C1C1E"/>
        </w:rPr>
        <w:t>peticion</w:t>
      </w:r>
      <w:proofErr w:type="spellEnd"/>
      <w:r>
        <w:rPr>
          <w:color w:val="1C1C1E"/>
        </w:rPr>
        <w:t>(</w:t>
      </w:r>
      <w:proofErr w:type="gramEnd"/>
      <w:r>
        <w:rPr>
          <w:color w:val="1C1C1E"/>
        </w:rPr>
        <w:t>) del cliente robusto.</w:t>
      </w:r>
    </w:p>
    <w:p w14:paraId="00C7C260" w14:textId="77777777" w:rsidR="000663FC" w:rsidRDefault="000663FC">
      <w:pPr>
        <w:spacing w:line="120" w:lineRule="auto"/>
      </w:pPr>
    </w:p>
    <w:p w14:paraId="0A7882B8" w14:textId="77777777" w:rsidR="000663FC" w:rsidRDefault="00000000">
      <w:pPr>
        <w:spacing w:before="80" w:after="80" w:line="360" w:lineRule="auto"/>
        <w:jc w:val="both"/>
      </w:pPr>
      <w:r>
        <w:rPr>
          <w:color w:val="1C1C1E"/>
        </w:rPr>
        <w:t xml:space="preserve">Dado que la operación de red del </w:t>
      </w:r>
      <w:proofErr w:type="spellStart"/>
      <w:r>
        <w:rPr>
          <w:color w:val="1C1C1E"/>
        </w:rPr>
        <w:t>refresh</w:t>
      </w:r>
      <w:proofErr w:type="spellEnd"/>
      <w:r>
        <w:rPr>
          <w:color w:val="1C1C1E"/>
        </w:rPr>
        <w:t xml:space="preserve"> tarda algunos milisegundos en completarse y actualizar la variable en memoria, las cinco peticiones paralelas leían consecutivamente que el token seguía expirado —y las cinco terminaban disparando ráfagas redundantes al </w:t>
      </w:r>
      <w:proofErr w:type="spellStart"/>
      <w:r>
        <w:rPr>
          <w:color w:val="1C1C1E"/>
        </w:rPr>
        <w:t>endpoint</w:t>
      </w:r>
      <w:proofErr w:type="spellEnd"/>
      <w:r>
        <w:rPr>
          <w:color w:val="1C1C1E"/>
        </w:rPr>
        <w:t xml:space="preserve"> de renovación del servidor, saturando el </w:t>
      </w:r>
      <w:proofErr w:type="spellStart"/>
      <w:r>
        <w:rPr>
          <w:color w:val="1C1C1E"/>
        </w:rPr>
        <w:t>backend</w:t>
      </w:r>
      <w:proofErr w:type="spellEnd"/>
      <w:r>
        <w:rPr>
          <w:color w:val="1C1C1E"/>
        </w:rPr>
        <w:t xml:space="preserve"> de autenticación.</w:t>
      </w:r>
    </w:p>
    <w:p w14:paraId="4C3B75E8" w14:textId="77777777" w:rsidR="000663FC" w:rsidRDefault="000663FC">
      <w:pPr>
        <w:spacing w:line="2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7869"/>
      </w:tblGrid>
      <w:tr w:rsidR="000663FC" w14:paraId="3FF72F2B" w14:textId="77777777">
        <w:tblPrEx>
          <w:tblCellMar>
            <w:top w:w="0" w:type="dxa"/>
            <w:bottom w:w="0" w:type="dxa"/>
          </w:tblCellMar>
        </w:tblPrEx>
        <w:tc>
          <w:tcPr>
            <w:tcW w:w="1200" w:type="dxa"/>
            <w:tcBorders>
              <w:top w:val="nil"/>
              <w:left w:val="nil"/>
              <w:bottom w:val="nil"/>
              <w:right w:val="nil"/>
            </w:tcBorders>
            <w:shd w:val="clear" w:color="auto" w:fill="E67E22"/>
            <w:tcMar>
              <w:top w:w="120" w:type="dxa"/>
              <w:left w:w="140" w:type="dxa"/>
              <w:bottom w:w="120" w:type="dxa"/>
              <w:right w:w="140" w:type="dxa"/>
            </w:tcMar>
            <w:vAlign w:val="center"/>
          </w:tcPr>
          <w:p w14:paraId="202718F1" w14:textId="77777777" w:rsidR="000663FC" w:rsidRDefault="00000000">
            <w:pPr>
              <w:jc w:val="center"/>
            </w:pPr>
            <w:r>
              <w:rPr>
                <w:b/>
                <w:bCs/>
                <w:color w:val="FFFFFF"/>
                <w:sz w:val="18"/>
                <w:szCs w:val="18"/>
              </w:rPr>
              <w:t>Solución implementada</w:t>
            </w:r>
          </w:p>
        </w:tc>
        <w:tc>
          <w:tcPr>
            <w:tcW w:w="8160" w:type="dxa"/>
            <w:tcBorders>
              <w:top w:val="nil"/>
              <w:left w:val="nil"/>
              <w:bottom w:val="nil"/>
              <w:right w:val="nil"/>
            </w:tcBorders>
            <w:shd w:val="clear" w:color="auto" w:fill="FEF5EC"/>
            <w:tcMar>
              <w:top w:w="120" w:type="dxa"/>
              <w:left w:w="180" w:type="dxa"/>
              <w:bottom w:w="120" w:type="dxa"/>
              <w:right w:w="140" w:type="dxa"/>
            </w:tcMar>
            <w:vAlign w:val="center"/>
          </w:tcPr>
          <w:p w14:paraId="16F494A5" w14:textId="77777777" w:rsidR="000663FC" w:rsidRDefault="00000000">
            <w:pPr>
              <w:spacing w:line="320" w:lineRule="auto"/>
              <w:jc w:val="both"/>
            </w:pPr>
            <w:r>
              <w:rPr>
                <w:color w:val="1C1C1E"/>
                <w:sz w:val="21"/>
                <w:szCs w:val="21"/>
              </w:rPr>
              <w:t xml:space="preserve">Se implementó una tarea compartida única —un future o una bandera de control protegida con un candado asíncrono— para que las peticiones subsecuentes esperaran el resultado de la primera solicitud de </w:t>
            </w:r>
            <w:proofErr w:type="spellStart"/>
            <w:r>
              <w:rPr>
                <w:color w:val="1C1C1E"/>
                <w:sz w:val="21"/>
                <w:szCs w:val="21"/>
              </w:rPr>
              <w:t>refresh</w:t>
            </w:r>
            <w:proofErr w:type="spellEnd"/>
            <w:r>
              <w:rPr>
                <w:color w:val="1C1C1E"/>
                <w:sz w:val="21"/>
                <w:szCs w:val="21"/>
              </w:rPr>
              <w:t xml:space="preserve"> en vuelo, en lugar de generar llamadas duplicadas en la red.</w:t>
            </w:r>
          </w:p>
        </w:tc>
      </w:tr>
    </w:tbl>
    <w:p w14:paraId="08D96B6D" w14:textId="77777777" w:rsidR="000663FC" w:rsidRDefault="000663FC">
      <w:pPr>
        <w:spacing w:line="400" w:lineRule="auto"/>
      </w:pPr>
    </w:p>
    <w:p w14:paraId="17FAF02B" w14:textId="77777777" w:rsidR="000663FC" w:rsidRDefault="00000000">
      <w:pPr>
        <w:spacing w:before="200" w:after="80"/>
      </w:pPr>
      <w:r>
        <w:rPr>
          <w:b/>
          <w:bCs/>
          <w:color w:val="EBF4F8"/>
          <w:sz w:val="52"/>
          <w:szCs w:val="52"/>
        </w:rPr>
        <w:t>03</w:t>
      </w:r>
    </w:p>
    <w:p w14:paraId="10DC649C" w14:textId="77777777" w:rsidR="000663FC" w:rsidRDefault="00000000">
      <w:pPr>
        <w:spacing w:after="80"/>
      </w:pPr>
      <w:r>
        <w:rPr>
          <w:b/>
          <w:bCs/>
          <w:color w:val="1A3C5E"/>
          <w:sz w:val="36"/>
          <w:szCs w:val="36"/>
        </w:rPr>
        <w:t>Esfuerzo vs. Valor de Negocio</w:t>
      </w:r>
    </w:p>
    <w:p w14:paraId="720C76FB" w14:textId="77777777" w:rsidR="000663FC" w:rsidRDefault="00000000">
      <w:pPr>
        <w:spacing w:after="160"/>
      </w:pPr>
      <w:r>
        <w:rPr>
          <w:i/>
          <w:iCs/>
          <w:color w:val="5A6475"/>
        </w:rPr>
        <w:t xml:space="preserve">¿Qué patrón costó más y cuál aportó más valor a </w:t>
      </w:r>
      <w:proofErr w:type="spellStart"/>
      <w:r>
        <w:rPr>
          <w:i/>
          <w:iCs/>
          <w:color w:val="5A6475"/>
        </w:rPr>
        <w:t>EcoMarket</w:t>
      </w:r>
      <w:proofErr w:type="spellEnd"/>
      <w:r>
        <w:rPr>
          <w:i/>
          <w:iCs/>
          <w:color w:val="5A6475"/>
        </w:rPr>
        <w:t>? ¿Coinciden?</w:t>
      </w:r>
    </w:p>
    <w:p w14:paraId="633D71DE" w14:textId="77777777" w:rsidR="000663FC" w:rsidRDefault="000663FC">
      <w:pPr>
        <w:pBdr>
          <w:bottom w:val="single" w:sz="8" w:space="1" w:color="2196A6"/>
        </w:pBdr>
        <w:spacing w:after="160"/>
      </w:pPr>
    </w:p>
    <w:p w14:paraId="47464710" w14:textId="77777777" w:rsidR="000663FC" w:rsidRDefault="00000000">
      <w:pPr>
        <w:spacing w:before="80" w:after="80" w:line="360" w:lineRule="auto"/>
        <w:jc w:val="both"/>
      </w:pPr>
      <w:r>
        <w:rPr>
          <w:color w:val="1C1C1E"/>
        </w:rPr>
        <w:t xml:space="preserve">Los tres patrones evaluados —SSE, JWT y </w:t>
      </w:r>
      <w:proofErr w:type="spellStart"/>
      <w:r>
        <w:rPr>
          <w:color w:val="1C1C1E"/>
        </w:rPr>
        <w:t>Circuit</w:t>
      </w:r>
      <w:proofErr w:type="spellEnd"/>
      <w:r>
        <w:rPr>
          <w:color w:val="1C1C1E"/>
        </w:rPr>
        <w:t xml:space="preserve"> Breaker— representan esfuerzos y valores de negocio significativamente distintos. La respuesta directa es que no coinciden: el patrón que </w:t>
      </w:r>
      <w:r>
        <w:rPr>
          <w:color w:val="1C1C1E"/>
        </w:rPr>
        <w:lastRenderedPageBreak/>
        <w:t xml:space="preserve">demandó más tiempo de implementación no es el mismo que resultó más valioso para la operación cotidiana del sistema </w:t>
      </w:r>
      <w:proofErr w:type="spellStart"/>
      <w:r>
        <w:rPr>
          <w:color w:val="1C1C1E"/>
        </w:rPr>
        <w:t>EcoMarket</w:t>
      </w:r>
      <w:proofErr w:type="spellEnd"/>
      <w:r>
        <w:rPr>
          <w:color w:val="1C1C1E"/>
        </w:rPr>
        <w:t>.</w:t>
      </w:r>
    </w:p>
    <w:p w14:paraId="6E20FC7D" w14:textId="77777777" w:rsidR="000663FC" w:rsidRDefault="000663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63FC" w14:paraId="79759269" w14:textId="77777777">
        <w:tblPrEx>
          <w:tblCellMar>
            <w:top w:w="0" w:type="dxa"/>
            <w:bottom w:w="0" w:type="dxa"/>
          </w:tblCellMar>
        </w:tblPrEx>
        <w:tc>
          <w:tcPr>
            <w:tcW w:w="4680" w:type="dxa"/>
            <w:tcBorders>
              <w:top w:val="nil"/>
              <w:left w:val="nil"/>
              <w:bottom w:val="nil"/>
              <w:right w:val="nil"/>
            </w:tcBorders>
            <w:shd w:val="clear" w:color="auto" w:fill="1A3C5E"/>
            <w:tcMar>
              <w:top w:w="120" w:type="dxa"/>
              <w:left w:w="180" w:type="dxa"/>
              <w:bottom w:w="120" w:type="dxa"/>
              <w:right w:w="180" w:type="dxa"/>
            </w:tcMar>
          </w:tcPr>
          <w:p w14:paraId="028332C9" w14:textId="77777777" w:rsidR="000663FC" w:rsidRDefault="00000000">
            <w:pPr>
              <w:jc w:val="center"/>
            </w:pPr>
            <w:r>
              <w:rPr>
                <w:b/>
                <w:bCs/>
                <w:color w:val="FFFFFF"/>
                <w:sz w:val="20"/>
                <w:szCs w:val="20"/>
              </w:rPr>
              <w:t>Mayor Esfuerzo</w:t>
            </w:r>
          </w:p>
        </w:tc>
        <w:tc>
          <w:tcPr>
            <w:tcW w:w="4680" w:type="dxa"/>
            <w:tcBorders>
              <w:top w:val="nil"/>
              <w:left w:val="nil"/>
              <w:bottom w:val="nil"/>
              <w:right w:val="nil"/>
            </w:tcBorders>
            <w:shd w:val="clear" w:color="auto" w:fill="27AE60"/>
            <w:tcMar>
              <w:top w:w="120" w:type="dxa"/>
              <w:left w:w="180" w:type="dxa"/>
              <w:bottom w:w="120" w:type="dxa"/>
              <w:right w:w="180" w:type="dxa"/>
            </w:tcMar>
          </w:tcPr>
          <w:p w14:paraId="7E4007BB" w14:textId="77777777" w:rsidR="000663FC" w:rsidRDefault="00000000">
            <w:pPr>
              <w:jc w:val="center"/>
            </w:pPr>
            <w:r>
              <w:rPr>
                <w:b/>
                <w:bCs/>
                <w:color w:val="FFFFFF"/>
                <w:sz w:val="20"/>
                <w:szCs w:val="20"/>
              </w:rPr>
              <w:t xml:space="preserve">Mayor Valor para </w:t>
            </w:r>
            <w:proofErr w:type="spellStart"/>
            <w:r>
              <w:rPr>
                <w:b/>
                <w:bCs/>
                <w:color w:val="FFFFFF"/>
                <w:sz w:val="20"/>
                <w:szCs w:val="20"/>
              </w:rPr>
              <w:t>EcoMarket</w:t>
            </w:r>
            <w:proofErr w:type="spellEnd"/>
          </w:p>
        </w:tc>
      </w:tr>
      <w:tr w:rsidR="000663FC" w14:paraId="7A2CE5AB" w14:textId="77777777">
        <w:tblPrEx>
          <w:tblCellMar>
            <w:top w:w="0" w:type="dxa"/>
            <w:bottom w:w="0" w:type="dxa"/>
          </w:tblCellMar>
        </w:tblPrEx>
        <w:tc>
          <w:tcPr>
            <w:tcW w:w="4680" w:type="dxa"/>
            <w:tcBorders>
              <w:top w:val="single" w:sz="1" w:space="0" w:color="C5D8E8"/>
              <w:left w:val="single" w:sz="1" w:space="0" w:color="C5D8E8"/>
              <w:bottom w:val="single" w:sz="1" w:space="0" w:color="C5D8E8"/>
              <w:right w:val="single" w:sz="1" w:space="0" w:color="C5D8E8"/>
            </w:tcBorders>
            <w:shd w:val="clear" w:color="auto" w:fill="EBF4F8"/>
            <w:tcMar>
              <w:top w:w="160" w:type="dxa"/>
              <w:left w:w="200" w:type="dxa"/>
              <w:bottom w:w="160" w:type="dxa"/>
              <w:right w:w="180" w:type="dxa"/>
            </w:tcMar>
          </w:tcPr>
          <w:p w14:paraId="2E7EB244" w14:textId="77777777" w:rsidR="000663FC" w:rsidRDefault="00000000">
            <w:proofErr w:type="spellStart"/>
            <w:r>
              <w:rPr>
                <w:b/>
                <w:bCs/>
                <w:color w:val="1A3C5E"/>
              </w:rPr>
              <w:t>Circuit</w:t>
            </w:r>
            <w:proofErr w:type="spellEnd"/>
            <w:r>
              <w:rPr>
                <w:b/>
                <w:bCs/>
                <w:color w:val="1A3C5E"/>
              </w:rPr>
              <w:t xml:space="preserve"> Breaker</w:t>
            </w:r>
          </w:p>
          <w:p w14:paraId="4D89B8BD" w14:textId="77777777" w:rsidR="000663FC" w:rsidRDefault="00000000">
            <w:pPr>
              <w:spacing w:before="60" w:line="300" w:lineRule="auto"/>
              <w:jc w:val="both"/>
            </w:pPr>
            <w:r>
              <w:rPr>
                <w:color w:val="1C1C1E"/>
                <w:sz w:val="20"/>
                <w:szCs w:val="20"/>
              </w:rPr>
              <w:t xml:space="preserve">Diseñar la máquina de estados con transiciones temporales automáticas (CERRADO → ABIERTO → SEMIABIERTO), calcular dinámicamente los segundos de aislamiento y garantizar el </w:t>
            </w:r>
            <w:proofErr w:type="spellStart"/>
            <w:r>
              <w:rPr>
                <w:color w:val="1C1C1E"/>
                <w:sz w:val="20"/>
                <w:szCs w:val="20"/>
              </w:rPr>
              <w:t>reset</w:t>
            </w:r>
            <w:proofErr w:type="spellEnd"/>
            <w:r>
              <w:rPr>
                <w:color w:val="1C1C1E"/>
                <w:sz w:val="20"/>
                <w:szCs w:val="20"/>
              </w:rPr>
              <w:t xml:space="preserve"> limpio del contador ante un éxito </w:t>
            </w:r>
            <w:proofErr w:type="spellStart"/>
            <w:r>
              <w:rPr>
                <w:color w:val="1C1C1E"/>
                <w:sz w:val="20"/>
                <w:szCs w:val="20"/>
              </w:rPr>
              <w:t>Canary</w:t>
            </w:r>
            <w:proofErr w:type="spellEnd"/>
            <w:r>
              <w:rPr>
                <w:color w:val="1C1C1E"/>
                <w:sz w:val="20"/>
                <w:szCs w:val="20"/>
              </w:rPr>
              <w:t xml:space="preserve"> (INV-A3) requirió una lógica de control extensa y depuración minuciosa.</w:t>
            </w:r>
          </w:p>
        </w:tc>
        <w:tc>
          <w:tcPr>
            <w:tcW w:w="4680" w:type="dxa"/>
            <w:tcBorders>
              <w:top w:val="single" w:sz="1" w:space="0" w:color="C5D8E8"/>
              <w:left w:val="single" w:sz="1" w:space="0" w:color="C5D8E8"/>
              <w:bottom w:val="single" w:sz="1" w:space="0" w:color="C5D8E8"/>
              <w:right w:val="single" w:sz="1" w:space="0" w:color="C5D8E8"/>
            </w:tcBorders>
            <w:shd w:val="clear" w:color="auto" w:fill="EAF7EE"/>
            <w:tcMar>
              <w:top w:w="160" w:type="dxa"/>
              <w:left w:w="200" w:type="dxa"/>
              <w:bottom w:w="160" w:type="dxa"/>
              <w:right w:w="180" w:type="dxa"/>
            </w:tcMar>
          </w:tcPr>
          <w:p w14:paraId="378102ED" w14:textId="77777777" w:rsidR="000663FC" w:rsidRDefault="00000000">
            <w:r>
              <w:rPr>
                <w:b/>
                <w:bCs/>
                <w:color w:val="27AE60"/>
              </w:rPr>
              <w:t>JWT + Interceptor de Reintentos</w:t>
            </w:r>
          </w:p>
          <w:p w14:paraId="6B5A16E3" w14:textId="77777777" w:rsidR="000663FC" w:rsidRDefault="00000000">
            <w:pPr>
              <w:spacing w:before="60" w:line="300" w:lineRule="auto"/>
              <w:jc w:val="both"/>
            </w:pPr>
            <w:r>
              <w:rPr>
                <w:color w:val="1C1C1E"/>
                <w:sz w:val="20"/>
                <w:szCs w:val="20"/>
              </w:rPr>
              <w:t>En un sistema de e-</w:t>
            </w:r>
            <w:proofErr w:type="spellStart"/>
            <w:r>
              <w:rPr>
                <w:color w:val="1C1C1E"/>
                <w:sz w:val="20"/>
                <w:szCs w:val="20"/>
              </w:rPr>
              <w:t>commerce</w:t>
            </w:r>
            <w:proofErr w:type="spellEnd"/>
            <w:r>
              <w:rPr>
                <w:color w:val="1C1C1E"/>
                <w:sz w:val="20"/>
                <w:szCs w:val="20"/>
              </w:rPr>
              <w:t xml:space="preserve"> real con alta demanda, las sesiones caídas, la intercepción de errores 401 y la renovación automática del token en segundo plano ocurren de forma constante durante el uso ordinario. Una gestión robusta del ciclo de vida del token garantiza la experiencia fluida del usuario día a día.</w:t>
            </w:r>
          </w:p>
        </w:tc>
      </w:tr>
    </w:tbl>
    <w:p w14:paraId="2773BDD8" w14:textId="77777777" w:rsidR="000663FC" w:rsidRDefault="000663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8100"/>
      </w:tblGrid>
      <w:tr w:rsidR="000663FC" w14:paraId="17271F65" w14:textId="77777777">
        <w:tblPrEx>
          <w:tblCellMar>
            <w:top w:w="0" w:type="dxa"/>
            <w:bottom w:w="0" w:type="dxa"/>
          </w:tblCellMar>
        </w:tblPrEx>
        <w:tc>
          <w:tcPr>
            <w:tcW w:w="1200" w:type="dxa"/>
            <w:tcBorders>
              <w:top w:val="nil"/>
              <w:left w:val="nil"/>
              <w:bottom w:val="nil"/>
              <w:right w:val="nil"/>
            </w:tcBorders>
            <w:shd w:val="clear" w:color="auto" w:fill="1A3C5E"/>
            <w:tcMar>
              <w:top w:w="120" w:type="dxa"/>
              <w:left w:w="140" w:type="dxa"/>
              <w:bottom w:w="120" w:type="dxa"/>
              <w:right w:w="140" w:type="dxa"/>
            </w:tcMar>
            <w:vAlign w:val="center"/>
          </w:tcPr>
          <w:p w14:paraId="1E46D087" w14:textId="77777777" w:rsidR="000663FC" w:rsidRDefault="00000000">
            <w:pPr>
              <w:jc w:val="center"/>
            </w:pPr>
            <w:r>
              <w:rPr>
                <w:b/>
                <w:bCs/>
                <w:color w:val="FFFFFF"/>
                <w:sz w:val="18"/>
                <w:szCs w:val="18"/>
              </w:rPr>
              <w:t>Conclusión</w:t>
            </w:r>
          </w:p>
        </w:tc>
        <w:tc>
          <w:tcPr>
            <w:tcW w:w="8160" w:type="dxa"/>
            <w:tcBorders>
              <w:top w:val="nil"/>
              <w:left w:val="nil"/>
              <w:bottom w:val="nil"/>
              <w:right w:val="nil"/>
            </w:tcBorders>
            <w:shd w:val="clear" w:color="auto" w:fill="EBF4F8"/>
            <w:tcMar>
              <w:top w:w="120" w:type="dxa"/>
              <w:left w:w="180" w:type="dxa"/>
              <w:bottom w:w="120" w:type="dxa"/>
              <w:right w:w="140" w:type="dxa"/>
            </w:tcMar>
            <w:vAlign w:val="center"/>
          </w:tcPr>
          <w:p w14:paraId="1DBA8258" w14:textId="77777777" w:rsidR="000663FC" w:rsidRDefault="00000000">
            <w:pPr>
              <w:spacing w:line="320" w:lineRule="auto"/>
              <w:jc w:val="both"/>
            </w:pPr>
            <w:r>
              <w:rPr>
                <w:color w:val="1C1C1E"/>
                <w:sz w:val="21"/>
                <w:szCs w:val="21"/>
              </w:rPr>
              <w:t xml:space="preserve">El </w:t>
            </w:r>
            <w:proofErr w:type="spellStart"/>
            <w:r>
              <w:rPr>
                <w:color w:val="1C1C1E"/>
                <w:sz w:val="21"/>
                <w:szCs w:val="21"/>
              </w:rPr>
              <w:t>Circuit</w:t>
            </w:r>
            <w:proofErr w:type="spellEnd"/>
            <w:r>
              <w:rPr>
                <w:color w:val="1C1C1E"/>
                <w:sz w:val="21"/>
                <w:szCs w:val="21"/>
              </w:rPr>
              <w:t xml:space="preserve"> Breaker es una red de seguridad excelente para proteger al servidor durante fallas críticas o picos de carga (como un evento Black Friday), pero la gestión correcta y segura del ciclo de vida del token JWT es lo que mantiene la experiencia del usuario fluida durante la operación cotidiana.</w:t>
            </w:r>
          </w:p>
        </w:tc>
      </w:tr>
    </w:tbl>
    <w:p w14:paraId="52EC2CB9" w14:textId="77777777" w:rsidR="000663FC" w:rsidRDefault="000663FC">
      <w:pPr>
        <w:spacing w:line="400" w:lineRule="auto"/>
      </w:pPr>
    </w:p>
    <w:p w14:paraId="497C968A" w14:textId="77777777" w:rsidR="000663FC" w:rsidRDefault="00000000">
      <w:pPr>
        <w:spacing w:before="200" w:after="80"/>
      </w:pPr>
      <w:r>
        <w:rPr>
          <w:b/>
          <w:bCs/>
          <w:color w:val="EBF4F8"/>
          <w:sz w:val="52"/>
          <w:szCs w:val="52"/>
        </w:rPr>
        <w:t>04</w:t>
      </w:r>
    </w:p>
    <w:p w14:paraId="4BA80419" w14:textId="77777777" w:rsidR="000663FC" w:rsidRDefault="00000000">
      <w:pPr>
        <w:spacing w:after="80"/>
      </w:pPr>
      <w:r>
        <w:rPr>
          <w:b/>
          <w:bCs/>
          <w:color w:val="1A3C5E"/>
          <w:sz w:val="36"/>
          <w:szCs w:val="36"/>
        </w:rPr>
        <w:t>Reflexión Colaborativa</w:t>
      </w:r>
    </w:p>
    <w:p w14:paraId="07B2165E" w14:textId="77777777" w:rsidR="000663FC" w:rsidRDefault="00000000">
      <w:pPr>
        <w:spacing w:after="160"/>
      </w:pPr>
      <w:r>
        <w:rPr>
          <w:i/>
          <w:iCs/>
          <w:color w:val="5A6475"/>
        </w:rPr>
        <w:t>¿Qué decisión habrías debatido con un par técnico?</w:t>
      </w:r>
    </w:p>
    <w:p w14:paraId="5610BB1C" w14:textId="77777777" w:rsidR="000663FC" w:rsidRDefault="000663FC">
      <w:pPr>
        <w:pBdr>
          <w:bottom w:val="single" w:sz="8" w:space="1" w:color="2196A6"/>
        </w:pBdr>
        <w:spacing w:after="160"/>
      </w:pPr>
    </w:p>
    <w:p w14:paraId="5AE70C65" w14:textId="77777777" w:rsidR="000663FC" w:rsidRDefault="00000000">
      <w:pPr>
        <w:spacing w:before="80" w:after="80" w:line="360" w:lineRule="auto"/>
        <w:jc w:val="both"/>
      </w:pPr>
      <w:r>
        <w:rPr>
          <w:color w:val="1C1C1E"/>
        </w:rPr>
        <w:t>Al haber trabajado en solitario en este laboratorio de auditoría e integración, la decisión arquitectónica que más habría valido la pena contrastar con un par técnico es la estrategia de clasificación de errores HTTP en el cliente robusto.</w:t>
      </w:r>
    </w:p>
    <w:p w14:paraId="6CD355C1" w14:textId="77777777" w:rsidR="000663FC" w:rsidRDefault="000663FC">
      <w:pPr>
        <w:spacing w:line="120" w:lineRule="auto"/>
      </w:pPr>
    </w:p>
    <w:p w14:paraId="028DCFDE" w14:textId="77777777" w:rsidR="000663FC" w:rsidRDefault="00000000">
      <w:pPr>
        <w:spacing w:before="80" w:after="80" w:line="360" w:lineRule="auto"/>
        <w:jc w:val="both"/>
      </w:pPr>
      <w:r>
        <w:rPr>
          <w:color w:val="1C1C1E"/>
        </w:rPr>
        <w:t>Específicamente, el debate se habría centrado en el diseño del método _</w:t>
      </w:r>
      <w:proofErr w:type="spellStart"/>
      <w:r>
        <w:rPr>
          <w:color w:val="1C1C1E"/>
        </w:rPr>
        <w:t>es_fallo_</w:t>
      </w:r>
      <w:proofErr w:type="gramStart"/>
      <w:r>
        <w:rPr>
          <w:color w:val="1C1C1E"/>
        </w:rPr>
        <w:t>servidor</w:t>
      </w:r>
      <w:proofErr w:type="spellEnd"/>
      <w:r>
        <w:rPr>
          <w:color w:val="1C1C1E"/>
        </w:rPr>
        <w:t>(</w:t>
      </w:r>
      <w:proofErr w:type="gramEnd"/>
      <w:r>
        <w:rPr>
          <w:color w:val="1C1C1E"/>
        </w:rPr>
        <w:t>) del breaker y su lista de filtrado de códigos HTTP. La implementación actual excluye de forma estricta los errores 401 y 403 para que no inflen el contador de caídas de red (invariante INV-A4). Sin embargo, queda abierta una pregunta de diseño relevante respecto a los errores de la familia 400:</w:t>
      </w:r>
    </w:p>
    <w:p w14:paraId="156C29C7" w14:textId="77777777" w:rsidR="000663FC" w:rsidRDefault="000663FC">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63FC" w14:paraId="0F85ADF9" w14:textId="77777777">
        <w:tblPrEx>
          <w:tblCellMar>
            <w:top w:w="0" w:type="dxa"/>
            <w:bottom w:w="0" w:type="dxa"/>
          </w:tblCellMar>
        </w:tblPrEx>
        <w:tc>
          <w:tcPr>
            <w:tcW w:w="9360" w:type="dxa"/>
            <w:tcBorders>
              <w:top w:val="nil"/>
              <w:left w:val="single" w:sz="16" w:space="0" w:color="E67E22"/>
              <w:bottom w:val="nil"/>
              <w:right w:val="nil"/>
            </w:tcBorders>
            <w:shd w:val="clear" w:color="auto" w:fill="FEF5EC"/>
            <w:tcMar>
              <w:top w:w="160" w:type="dxa"/>
              <w:left w:w="280" w:type="dxa"/>
              <w:bottom w:w="160" w:type="dxa"/>
              <w:right w:w="200" w:type="dxa"/>
            </w:tcMar>
          </w:tcPr>
          <w:p w14:paraId="718B7EA0" w14:textId="77777777" w:rsidR="000663FC" w:rsidRDefault="00000000">
            <w:pPr>
              <w:spacing w:line="320" w:lineRule="auto"/>
              <w:jc w:val="both"/>
            </w:pPr>
            <w:r>
              <w:rPr>
                <w:b/>
                <w:bCs/>
                <w:color w:val="E67E22"/>
                <w:sz w:val="21"/>
                <w:szCs w:val="21"/>
              </w:rPr>
              <w:t xml:space="preserve">Interrogante de diseño: </w:t>
            </w:r>
            <w:r>
              <w:rPr>
                <w:i/>
                <w:iCs/>
                <w:color w:val="1C1C1E"/>
                <w:sz w:val="21"/>
                <w:szCs w:val="21"/>
              </w:rPr>
              <w:t xml:space="preserve">¿Debería un error HTTP 400 </w:t>
            </w:r>
            <w:proofErr w:type="spellStart"/>
            <w:r>
              <w:rPr>
                <w:i/>
                <w:iCs/>
                <w:color w:val="1C1C1E"/>
                <w:sz w:val="21"/>
                <w:szCs w:val="21"/>
              </w:rPr>
              <w:t>Bad</w:t>
            </w:r>
            <w:proofErr w:type="spellEnd"/>
            <w:r>
              <w:rPr>
                <w:i/>
                <w:iCs/>
                <w:color w:val="1C1C1E"/>
                <w:sz w:val="21"/>
                <w:szCs w:val="21"/>
              </w:rPr>
              <w:t xml:space="preserve"> </w:t>
            </w:r>
            <w:proofErr w:type="spellStart"/>
            <w:r>
              <w:rPr>
                <w:i/>
                <w:iCs/>
                <w:color w:val="1C1C1E"/>
                <w:sz w:val="21"/>
                <w:szCs w:val="21"/>
              </w:rPr>
              <w:t>Request</w:t>
            </w:r>
            <w:proofErr w:type="spellEnd"/>
            <w:r>
              <w:rPr>
                <w:i/>
                <w:iCs/>
                <w:color w:val="1C1C1E"/>
                <w:sz w:val="21"/>
                <w:szCs w:val="21"/>
              </w:rPr>
              <w:t xml:space="preserve"> o 404 Not </w:t>
            </w:r>
            <w:proofErr w:type="spellStart"/>
            <w:r>
              <w:rPr>
                <w:i/>
                <w:iCs/>
                <w:color w:val="1C1C1E"/>
                <w:sz w:val="21"/>
                <w:szCs w:val="21"/>
              </w:rPr>
              <w:t>Found</w:t>
            </w:r>
            <w:proofErr w:type="spellEnd"/>
            <w:r>
              <w:rPr>
                <w:i/>
                <w:iCs/>
                <w:color w:val="1C1C1E"/>
                <w:sz w:val="21"/>
                <w:szCs w:val="21"/>
              </w:rPr>
              <w:t xml:space="preserve">, provocado por un bug en el </w:t>
            </w:r>
            <w:proofErr w:type="spellStart"/>
            <w:r>
              <w:rPr>
                <w:i/>
                <w:iCs/>
                <w:color w:val="1C1C1E"/>
                <w:sz w:val="21"/>
                <w:szCs w:val="21"/>
              </w:rPr>
              <w:t>payload</w:t>
            </w:r>
            <w:proofErr w:type="spellEnd"/>
            <w:r>
              <w:rPr>
                <w:i/>
                <w:iCs/>
                <w:color w:val="1C1C1E"/>
                <w:sz w:val="21"/>
                <w:szCs w:val="21"/>
              </w:rPr>
              <w:t xml:space="preserve"> del </w:t>
            </w:r>
            <w:proofErr w:type="spellStart"/>
            <w:r>
              <w:rPr>
                <w:i/>
                <w:iCs/>
                <w:color w:val="1C1C1E"/>
                <w:sz w:val="21"/>
                <w:szCs w:val="21"/>
              </w:rPr>
              <w:t>frontend</w:t>
            </w:r>
            <w:proofErr w:type="spellEnd"/>
            <w:r>
              <w:rPr>
                <w:i/>
                <w:iCs/>
                <w:color w:val="1C1C1E"/>
                <w:sz w:val="21"/>
                <w:szCs w:val="21"/>
              </w:rPr>
              <w:t xml:space="preserve">, considerarse un fallo que sume al umbral de apertura del </w:t>
            </w:r>
            <w:proofErr w:type="spellStart"/>
            <w:r>
              <w:rPr>
                <w:i/>
                <w:iCs/>
                <w:color w:val="1C1C1E"/>
                <w:sz w:val="21"/>
                <w:szCs w:val="21"/>
              </w:rPr>
              <w:t>circuit</w:t>
            </w:r>
            <w:proofErr w:type="spellEnd"/>
            <w:r>
              <w:rPr>
                <w:i/>
                <w:iCs/>
                <w:color w:val="1C1C1E"/>
                <w:sz w:val="21"/>
                <w:szCs w:val="21"/>
              </w:rPr>
              <w:t xml:space="preserve"> breaker? ¿O debería el breaker ignorarlo por completo, al no tratarse de un problema directo de la infraestructura del servidor?</w:t>
            </w:r>
          </w:p>
        </w:tc>
      </w:tr>
    </w:tbl>
    <w:p w14:paraId="166FE806" w14:textId="77777777" w:rsidR="000663FC" w:rsidRDefault="000663FC">
      <w:pPr>
        <w:spacing w:line="200" w:lineRule="auto"/>
      </w:pPr>
    </w:p>
    <w:p w14:paraId="5E24FB5B" w14:textId="77777777" w:rsidR="000663FC" w:rsidRDefault="00000000">
      <w:pPr>
        <w:spacing w:before="80" w:after="80" w:line="360" w:lineRule="auto"/>
        <w:jc w:val="both"/>
      </w:pPr>
      <w:r>
        <w:rPr>
          <w:color w:val="1C1C1E"/>
        </w:rPr>
        <w:lastRenderedPageBreak/>
        <w:t xml:space="preserve">Esta distinción es arquitectónicamente relevante porque un error 4xx causado por lógica de cliente incorrecto no necesariamente indica que el servidor </w:t>
      </w:r>
      <w:proofErr w:type="spellStart"/>
      <w:r>
        <w:rPr>
          <w:color w:val="1C1C1E"/>
        </w:rPr>
        <w:t>backend</w:t>
      </w:r>
      <w:proofErr w:type="spellEnd"/>
      <w:r>
        <w:rPr>
          <w:color w:val="1C1C1E"/>
        </w:rPr>
        <w:t xml:space="preserve"> esté degradado. Clasificarlo erróneamente podría activar el circuito ante una condición que no es fallo de infraestructura, afectando negativamente la disponibilidad percibida del sistema.</w:t>
      </w:r>
    </w:p>
    <w:p w14:paraId="4BCBAF58" w14:textId="77777777" w:rsidR="000663FC" w:rsidRDefault="000663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63FC" w14:paraId="7DBBB06B" w14:textId="77777777">
        <w:tblPrEx>
          <w:tblCellMar>
            <w:top w:w="0" w:type="dxa"/>
            <w:bottom w:w="0" w:type="dxa"/>
          </w:tblCellMar>
        </w:tblPrEx>
        <w:tc>
          <w:tcPr>
            <w:tcW w:w="1200" w:type="dxa"/>
            <w:tcBorders>
              <w:top w:val="nil"/>
              <w:left w:val="nil"/>
              <w:bottom w:val="nil"/>
              <w:right w:val="nil"/>
            </w:tcBorders>
            <w:shd w:val="clear" w:color="auto" w:fill="1A3C5E"/>
            <w:tcMar>
              <w:top w:w="120" w:type="dxa"/>
              <w:left w:w="140" w:type="dxa"/>
              <w:bottom w:w="120" w:type="dxa"/>
              <w:right w:w="140" w:type="dxa"/>
            </w:tcMar>
            <w:vAlign w:val="center"/>
          </w:tcPr>
          <w:p w14:paraId="6012A247" w14:textId="77777777" w:rsidR="000663FC" w:rsidRDefault="00000000">
            <w:pPr>
              <w:jc w:val="center"/>
            </w:pPr>
            <w:r>
              <w:rPr>
                <w:b/>
                <w:bCs/>
                <w:color w:val="FFFFFF"/>
                <w:sz w:val="18"/>
                <w:szCs w:val="18"/>
              </w:rPr>
              <w:t>Reflexión final</w:t>
            </w:r>
          </w:p>
        </w:tc>
        <w:tc>
          <w:tcPr>
            <w:tcW w:w="8160" w:type="dxa"/>
            <w:tcBorders>
              <w:top w:val="nil"/>
              <w:left w:val="nil"/>
              <w:bottom w:val="nil"/>
              <w:right w:val="nil"/>
            </w:tcBorders>
            <w:shd w:val="clear" w:color="auto" w:fill="EBF4F8"/>
            <w:tcMar>
              <w:top w:w="120" w:type="dxa"/>
              <w:left w:w="180" w:type="dxa"/>
              <w:bottom w:w="120" w:type="dxa"/>
              <w:right w:w="140" w:type="dxa"/>
            </w:tcMar>
            <w:vAlign w:val="center"/>
          </w:tcPr>
          <w:p w14:paraId="45E8596E" w14:textId="77777777" w:rsidR="000663FC" w:rsidRDefault="00000000">
            <w:pPr>
              <w:spacing w:line="320" w:lineRule="auto"/>
              <w:jc w:val="both"/>
            </w:pPr>
            <w:r>
              <w:rPr>
                <w:color w:val="1C1C1E"/>
                <w:sz w:val="21"/>
                <w:szCs w:val="21"/>
              </w:rPr>
              <w:t xml:space="preserve">Trabajar en solitario implicó tomar estas decisiones sin un segundo punto de vista. La colaboración técnica habría aportado una perspectiva valiosa para definir con mayor precisión los límites de responsabilidad del </w:t>
            </w:r>
            <w:proofErr w:type="spellStart"/>
            <w:r>
              <w:rPr>
                <w:color w:val="1C1C1E"/>
                <w:sz w:val="21"/>
                <w:szCs w:val="21"/>
              </w:rPr>
              <w:t>circuit</w:t>
            </w:r>
            <w:proofErr w:type="spellEnd"/>
            <w:r>
              <w:rPr>
                <w:color w:val="1C1C1E"/>
                <w:sz w:val="21"/>
                <w:szCs w:val="21"/>
              </w:rPr>
              <w:t xml:space="preserve"> breaker frente a diferentes categorías de error HTTP.</w:t>
            </w:r>
          </w:p>
        </w:tc>
      </w:tr>
    </w:tbl>
    <w:p w14:paraId="246BE272" w14:textId="77777777" w:rsidR="000663FC" w:rsidRDefault="000663FC">
      <w:pPr>
        <w:spacing w:line="400" w:lineRule="auto"/>
      </w:pPr>
    </w:p>
    <w:p w14:paraId="59DB06B4" w14:textId="77777777" w:rsidR="000663FC" w:rsidRDefault="000663FC">
      <w:pPr>
        <w:pBdr>
          <w:bottom w:val="single" w:sz="10" w:space="1" w:color="1A3C5E"/>
        </w:pBdr>
        <w:spacing w:after="160"/>
      </w:pPr>
    </w:p>
    <w:p w14:paraId="429D18AF" w14:textId="77777777" w:rsidR="000663FC" w:rsidRDefault="000663FC">
      <w:pPr>
        <w:spacing w:line="120" w:lineRule="auto"/>
      </w:pPr>
    </w:p>
    <w:p w14:paraId="1FC8BDA1" w14:textId="77777777" w:rsidR="000663FC" w:rsidRDefault="00000000">
      <w:pPr>
        <w:spacing w:before="80" w:after="40"/>
        <w:jc w:val="center"/>
      </w:pPr>
      <w:r>
        <w:rPr>
          <w:b/>
          <w:bCs/>
          <w:color w:val="1A3C5E"/>
          <w:sz w:val="26"/>
          <w:szCs w:val="26"/>
        </w:rPr>
        <w:t>Resumen de Lecciones Aprendidas</w:t>
      </w:r>
    </w:p>
    <w:p w14:paraId="731F8AF9" w14:textId="77777777" w:rsidR="000663FC" w:rsidRDefault="000663FC">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663FC" w14:paraId="2BC21A37" w14:textId="77777777">
        <w:tblPrEx>
          <w:tblCellMar>
            <w:top w:w="0" w:type="dxa"/>
            <w:bottom w:w="0" w:type="dxa"/>
          </w:tblCellMar>
        </w:tblPrEx>
        <w:tc>
          <w:tcPr>
            <w:tcW w:w="2800" w:type="dxa"/>
            <w:tcBorders>
              <w:top w:val="single" w:sz="1" w:space="0" w:color="C5D8E8"/>
              <w:left w:val="single" w:sz="1" w:space="0" w:color="C5D8E8"/>
              <w:bottom w:val="single" w:sz="1" w:space="0" w:color="C5D8E8"/>
              <w:right w:val="single" w:sz="1" w:space="0" w:color="C5D8E8"/>
            </w:tcBorders>
            <w:shd w:val="clear" w:color="auto" w:fill="EBF4F8"/>
            <w:tcMar>
              <w:top w:w="80" w:type="dxa"/>
              <w:left w:w="140" w:type="dxa"/>
              <w:bottom w:w="80" w:type="dxa"/>
              <w:right w:w="120" w:type="dxa"/>
            </w:tcMar>
          </w:tcPr>
          <w:p w14:paraId="1C236939" w14:textId="77777777" w:rsidR="000663FC" w:rsidRDefault="00000000">
            <w:r>
              <w:rPr>
                <w:b/>
                <w:bCs/>
                <w:color w:val="1A3C5E"/>
                <w:sz w:val="20"/>
                <w:szCs w:val="20"/>
              </w:rPr>
              <w:t xml:space="preserve">Arquitectura del </w:t>
            </w:r>
            <w:proofErr w:type="spellStart"/>
            <w:r>
              <w:rPr>
                <w:b/>
                <w:bCs/>
                <w:color w:val="1A3C5E"/>
                <w:sz w:val="20"/>
                <w:szCs w:val="20"/>
              </w:rPr>
              <w:t>mock</w:t>
            </w:r>
            <w:proofErr w:type="spellEnd"/>
          </w:p>
        </w:tc>
        <w:tc>
          <w:tcPr>
            <w:tcW w:w="656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15885F70" w14:textId="77777777" w:rsidR="000663FC" w:rsidRDefault="00000000">
            <w:r>
              <w:rPr>
                <w:color w:val="1C1C1E"/>
                <w:sz w:val="20"/>
                <w:szCs w:val="20"/>
              </w:rPr>
              <w:t>Separar los servicios de autenticación y datos desde el inicio simplifica las pruebas de resiliencia y la inyección de fallas.</w:t>
            </w:r>
          </w:p>
        </w:tc>
      </w:tr>
      <w:tr w:rsidR="000663FC" w14:paraId="2E8B209F" w14:textId="77777777">
        <w:tblPrEx>
          <w:tblCellMar>
            <w:top w:w="0" w:type="dxa"/>
            <w:bottom w:w="0" w:type="dxa"/>
          </w:tblCellMar>
        </w:tblPrEx>
        <w:tc>
          <w:tcPr>
            <w:tcW w:w="280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5074713E" w14:textId="77777777" w:rsidR="000663FC" w:rsidRDefault="00000000">
            <w:r>
              <w:rPr>
                <w:b/>
                <w:bCs/>
                <w:color w:val="1A3C5E"/>
                <w:sz w:val="20"/>
                <w:szCs w:val="20"/>
              </w:rPr>
              <w:t xml:space="preserve">Concurrencia y </w:t>
            </w:r>
            <w:proofErr w:type="spellStart"/>
            <w:r>
              <w:rPr>
                <w:b/>
                <w:bCs/>
                <w:color w:val="1A3C5E"/>
                <w:sz w:val="20"/>
                <w:szCs w:val="20"/>
              </w:rPr>
              <w:t>singleton</w:t>
            </w:r>
            <w:proofErr w:type="spellEnd"/>
          </w:p>
        </w:tc>
        <w:tc>
          <w:tcPr>
            <w:tcW w:w="656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1E293962" w14:textId="77777777" w:rsidR="000663FC" w:rsidRDefault="00000000">
            <w:r>
              <w:rPr>
                <w:color w:val="1C1C1E"/>
                <w:sz w:val="20"/>
                <w:szCs w:val="20"/>
              </w:rPr>
              <w:t xml:space="preserve">El patrón de tarea compartida con candado asíncrono es esencial para garantizar un único </w:t>
            </w:r>
            <w:proofErr w:type="spellStart"/>
            <w:r>
              <w:rPr>
                <w:color w:val="1C1C1E"/>
                <w:sz w:val="20"/>
                <w:szCs w:val="20"/>
              </w:rPr>
              <w:t>refresh</w:t>
            </w:r>
            <w:proofErr w:type="spellEnd"/>
            <w:r>
              <w:rPr>
                <w:color w:val="1C1C1E"/>
                <w:sz w:val="20"/>
                <w:szCs w:val="20"/>
              </w:rPr>
              <w:t xml:space="preserve"> ante múltiples peticiones concurrentes.</w:t>
            </w:r>
          </w:p>
        </w:tc>
      </w:tr>
      <w:tr w:rsidR="000663FC" w14:paraId="2A2C0B1C" w14:textId="77777777">
        <w:tblPrEx>
          <w:tblCellMar>
            <w:top w:w="0" w:type="dxa"/>
            <w:bottom w:w="0" w:type="dxa"/>
          </w:tblCellMar>
        </w:tblPrEx>
        <w:tc>
          <w:tcPr>
            <w:tcW w:w="2800" w:type="dxa"/>
            <w:tcBorders>
              <w:top w:val="single" w:sz="1" w:space="0" w:color="C5D8E8"/>
              <w:left w:val="single" w:sz="1" w:space="0" w:color="C5D8E8"/>
              <w:bottom w:val="single" w:sz="1" w:space="0" w:color="C5D8E8"/>
              <w:right w:val="single" w:sz="1" w:space="0" w:color="C5D8E8"/>
            </w:tcBorders>
            <w:shd w:val="clear" w:color="auto" w:fill="EBF4F8"/>
            <w:tcMar>
              <w:top w:w="80" w:type="dxa"/>
              <w:left w:w="140" w:type="dxa"/>
              <w:bottom w:w="80" w:type="dxa"/>
              <w:right w:w="120" w:type="dxa"/>
            </w:tcMar>
          </w:tcPr>
          <w:p w14:paraId="2A6F3A32" w14:textId="77777777" w:rsidR="000663FC" w:rsidRDefault="00000000">
            <w:r>
              <w:rPr>
                <w:b/>
                <w:bCs/>
                <w:color w:val="1A3C5E"/>
                <w:sz w:val="20"/>
                <w:szCs w:val="20"/>
              </w:rPr>
              <w:t>Esfuerzo ≠ Valor</w:t>
            </w:r>
          </w:p>
        </w:tc>
        <w:tc>
          <w:tcPr>
            <w:tcW w:w="656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0818601E" w14:textId="77777777" w:rsidR="000663FC" w:rsidRDefault="00000000">
            <w:r>
              <w:rPr>
                <w:color w:val="1C1C1E"/>
                <w:sz w:val="20"/>
                <w:szCs w:val="20"/>
              </w:rPr>
              <w:t>El patrón más costoso de implementar (</w:t>
            </w:r>
            <w:proofErr w:type="spellStart"/>
            <w:r>
              <w:rPr>
                <w:color w:val="1C1C1E"/>
                <w:sz w:val="20"/>
                <w:szCs w:val="20"/>
              </w:rPr>
              <w:t>Circuit</w:t>
            </w:r>
            <w:proofErr w:type="spellEnd"/>
            <w:r>
              <w:rPr>
                <w:color w:val="1C1C1E"/>
                <w:sz w:val="20"/>
                <w:szCs w:val="20"/>
              </w:rPr>
              <w:t xml:space="preserve"> Breaker) no es necesariamente el más valioso en operación cotidiana (JWT).</w:t>
            </w:r>
          </w:p>
        </w:tc>
      </w:tr>
      <w:tr w:rsidR="000663FC" w14:paraId="7C9A33CE" w14:textId="77777777">
        <w:tblPrEx>
          <w:tblCellMar>
            <w:top w:w="0" w:type="dxa"/>
            <w:bottom w:w="0" w:type="dxa"/>
          </w:tblCellMar>
        </w:tblPrEx>
        <w:tc>
          <w:tcPr>
            <w:tcW w:w="280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76B2EB17" w14:textId="77777777" w:rsidR="000663FC" w:rsidRDefault="00000000">
            <w:r>
              <w:rPr>
                <w:b/>
                <w:bCs/>
                <w:color w:val="1A3C5E"/>
                <w:sz w:val="20"/>
                <w:szCs w:val="20"/>
              </w:rPr>
              <w:t>Clasificación de errores</w:t>
            </w:r>
          </w:p>
        </w:tc>
        <w:tc>
          <w:tcPr>
            <w:tcW w:w="6560" w:type="dxa"/>
            <w:tcBorders>
              <w:top w:val="single" w:sz="1" w:space="0" w:color="C5D8E8"/>
              <w:left w:val="single" w:sz="1" w:space="0" w:color="C5D8E8"/>
              <w:bottom w:val="single" w:sz="1" w:space="0" w:color="C5D8E8"/>
              <w:right w:val="single" w:sz="1" w:space="0" w:color="C5D8E8"/>
            </w:tcBorders>
            <w:shd w:val="clear" w:color="auto" w:fill="FFFFFF"/>
            <w:tcMar>
              <w:top w:w="80" w:type="dxa"/>
              <w:left w:w="140" w:type="dxa"/>
              <w:bottom w:w="80" w:type="dxa"/>
              <w:right w:w="120" w:type="dxa"/>
            </w:tcMar>
          </w:tcPr>
          <w:p w14:paraId="48F1BADB" w14:textId="77777777" w:rsidR="000663FC" w:rsidRDefault="00000000">
            <w:r>
              <w:rPr>
                <w:color w:val="1C1C1E"/>
                <w:sz w:val="20"/>
                <w:szCs w:val="20"/>
              </w:rPr>
              <w:t>La distinción entre errores de cliente (4xx) y errores de infraestructura (5xx) es clave para calibrar correctamente el umbral del breaker.</w:t>
            </w:r>
          </w:p>
        </w:tc>
      </w:tr>
    </w:tbl>
    <w:p w14:paraId="42C25448" w14:textId="77777777" w:rsidR="000663FC" w:rsidRDefault="000663FC">
      <w:pPr>
        <w:spacing w:line="320" w:lineRule="auto"/>
      </w:pPr>
    </w:p>
    <w:p w14:paraId="34281E1B" w14:textId="77777777" w:rsidR="000663FC" w:rsidRDefault="00000000">
      <w:pPr>
        <w:jc w:val="center"/>
      </w:pPr>
      <w:r>
        <w:rPr>
          <w:i/>
          <w:iCs/>
          <w:color w:val="5A6475"/>
          <w:sz w:val="18"/>
          <w:szCs w:val="18"/>
        </w:rPr>
        <w:t>Pánuco Castillo Milton Cruz · UAN · 2025–2026</w:t>
      </w:r>
    </w:p>
    <w:p w14:paraId="0217C462" w14:textId="77777777" w:rsidR="000663FC" w:rsidRDefault="000663FC">
      <w:pPr>
        <w:spacing w:line="80" w:lineRule="auto"/>
      </w:pPr>
    </w:p>
    <w:sectPr w:rsidR="000663F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4EEDF" w14:textId="77777777" w:rsidR="00A27273" w:rsidRDefault="00A27273">
      <w:r>
        <w:separator/>
      </w:r>
    </w:p>
  </w:endnote>
  <w:endnote w:type="continuationSeparator" w:id="0">
    <w:p w14:paraId="15B99C2D" w14:textId="77777777" w:rsidR="00A27273" w:rsidRDefault="00A27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5B812" w14:textId="2B5B1552" w:rsidR="000663FC" w:rsidRDefault="00000000">
    <w:pPr>
      <w:pBdr>
        <w:top w:val="single" w:sz="4" w:space="1" w:color="2196A6"/>
      </w:pBdr>
      <w:tabs>
        <w:tab w:val="right" w:pos="9360"/>
      </w:tabs>
      <w:spacing w:before="160"/>
    </w:pPr>
    <w:r>
      <w:rPr>
        <w:color w:val="5A6475"/>
        <w:sz w:val="16"/>
        <w:szCs w:val="16"/>
      </w:rPr>
      <w:t>UAN · Programación Distribuida del Lado del Cliente</w:t>
    </w:r>
    <w:r>
      <w:rPr>
        <w:sz w:val="16"/>
        <w:szCs w:val="16"/>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CA32C" w14:textId="77777777" w:rsidR="00A27273" w:rsidRDefault="00A27273">
      <w:r>
        <w:separator/>
      </w:r>
    </w:p>
  </w:footnote>
  <w:footnote w:type="continuationSeparator" w:id="0">
    <w:p w14:paraId="7343975C" w14:textId="77777777" w:rsidR="00A27273" w:rsidRDefault="00A27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58A08" w14:textId="0B4DEA80" w:rsidR="000663FC" w:rsidRDefault="004734DA">
    <w:pPr>
      <w:pBdr>
        <w:bottom w:val="single" w:sz="4" w:space="1" w:color="2196A6"/>
      </w:pBdr>
      <w:spacing w:after="160"/>
    </w:pPr>
    <w:r>
      <w:rPr>
        <w:color w:val="5A6475"/>
        <w:sz w:val="16"/>
        <w:szCs w:val="16"/>
      </w:rPr>
      <w:t>R</w:t>
    </w:r>
    <w:r w:rsidR="00000000">
      <w:rPr>
        <w:color w:val="5A6475"/>
        <w:sz w:val="16"/>
        <w:szCs w:val="16"/>
      </w:rPr>
      <w:t>etrospectiva de Arquitectura · Hito 2</w:t>
    </w:r>
    <w:r w:rsidR="00000000">
      <w:rPr>
        <w:color w:val="2196A6"/>
        <w:sz w:val="16"/>
        <w:szCs w:val="16"/>
      </w:rPr>
      <w:t xml:space="preserve">     |     Pánuco Castillo Milton Cruz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704AE"/>
    <w:multiLevelType w:val="hybridMultilevel"/>
    <w:tmpl w:val="92DEC5F6"/>
    <w:lvl w:ilvl="0" w:tplc="205A6B34">
      <w:start w:val="1"/>
      <w:numFmt w:val="bullet"/>
      <w:lvlText w:val="●"/>
      <w:lvlJc w:val="left"/>
      <w:pPr>
        <w:ind w:left="720" w:hanging="360"/>
      </w:pPr>
    </w:lvl>
    <w:lvl w:ilvl="1" w:tplc="02FAAF24">
      <w:start w:val="1"/>
      <w:numFmt w:val="bullet"/>
      <w:lvlText w:val="○"/>
      <w:lvlJc w:val="left"/>
      <w:pPr>
        <w:ind w:left="1440" w:hanging="360"/>
      </w:pPr>
    </w:lvl>
    <w:lvl w:ilvl="2" w:tplc="8CA06D14">
      <w:start w:val="1"/>
      <w:numFmt w:val="bullet"/>
      <w:lvlText w:val="■"/>
      <w:lvlJc w:val="left"/>
      <w:pPr>
        <w:ind w:left="2160" w:hanging="360"/>
      </w:pPr>
    </w:lvl>
    <w:lvl w:ilvl="3" w:tplc="1510586C">
      <w:start w:val="1"/>
      <w:numFmt w:val="bullet"/>
      <w:lvlText w:val="●"/>
      <w:lvlJc w:val="left"/>
      <w:pPr>
        <w:ind w:left="2880" w:hanging="360"/>
      </w:pPr>
    </w:lvl>
    <w:lvl w:ilvl="4" w:tplc="8A66D0B0">
      <w:start w:val="1"/>
      <w:numFmt w:val="bullet"/>
      <w:lvlText w:val="○"/>
      <w:lvlJc w:val="left"/>
      <w:pPr>
        <w:ind w:left="3600" w:hanging="360"/>
      </w:pPr>
    </w:lvl>
    <w:lvl w:ilvl="5" w:tplc="695C7C32">
      <w:start w:val="1"/>
      <w:numFmt w:val="bullet"/>
      <w:lvlText w:val="■"/>
      <w:lvlJc w:val="left"/>
      <w:pPr>
        <w:ind w:left="4320" w:hanging="360"/>
      </w:pPr>
    </w:lvl>
    <w:lvl w:ilvl="6" w:tplc="28E679E6">
      <w:start w:val="1"/>
      <w:numFmt w:val="bullet"/>
      <w:lvlText w:val="●"/>
      <w:lvlJc w:val="left"/>
      <w:pPr>
        <w:ind w:left="5040" w:hanging="360"/>
      </w:pPr>
    </w:lvl>
    <w:lvl w:ilvl="7" w:tplc="FE8268AC">
      <w:start w:val="1"/>
      <w:numFmt w:val="bullet"/>
      <w:lvlText w:val="●"/>
      <w:lvlJc w:val="left"/>
      <w:pPr>
        <w:ind w:left="5760" w:hanging="360"/>
      </w:pPr>
    </w:lvl>
    <w:lvl w:ilvl="8" w:tplc="F74EECC6">
      <w:start w:val="1"/>
      <w:numFmt w:val="bullet"/>
      <w:lvlText w:val="●"/>
      <w:lvlJc w:val="left"/>
      <w:pPr>
        <w:ind w:left="6480" w:hanging="360"/>
      </w:pPr>
    </w:lvl>
  </w:abstractNum>
  <w:abstractNum w:abstractNumId="1" w15:restartNumberingAfterBreak="0">
    <w:nsid w:val="76C238CC"/>
    <w:multiLevelType w:val="hybridMultilevel"/>
    <w:tmpl w:val="398C1ECE"/>
    <w:lvl w:ilvl="0" w:tplc="433CB2C0">
      <w:start w:val="1"/>
      <w:numFmt w:val="bullet"/>
      <w:lvlText w:val="•"/>
      <w:lvlJc w:val="left"/>
      <w:pPr>
        <w:ind w:left="720" w:hanging="360"/>
      </w:pPr>
    </w:lvl>
    <w:lvl w:ilvl="1" w:tplc="0DDAC808">
      <w:numFmt w:val="decimal"/>
      <w:lvlText w:val=""/>
      <w:lvlJc w:val="left"/>
    </w:lvl>
    <w:lvl w:ilvl="2" w:tplc="54DA8A82">
      <w:numFmt w:val="decimal"/>
      <w:lvlText w:val=""/>
      <w:lvlJc w:val="left"/>
    </w:lvl>
    <w:lvl w:ilvl="3" w:tplc="0B8427E0">
      <w:numFmt w:val="decimal"/>
      <w:lvlText w:val=""/>
      <w:lvlJc w:val="left"/>
    </w:lvl>
    <w:lvl w:ilvl="4" w:tplc="1C007EBE">
      <w:numFmt w:val="decimal"/>
      <w:lvlText w:val=""/>
      <w:lvlJc w:val="left"/>
    </w:lvl>
    <w:lvl w:ilvl="5" w:tplc="D91CAF8E">
      <w:numFmt w:val="decimal"/>
      <w:lvlText w:val=""/>
      <w:lvlJc w:val="left"/>
    </w:lvl>
    <w:lvl w:ilvl="6" w:tplc="8410B8CA">
      <w:numFmt w:val="decimal"/>
      <w:lvlText w:val=""/>
      <w:lvlJc w:val="left"/>
    </w:lvl>
    <w:lvl w:ilvl="7" w:tplc="D578FE92">
      <w:numFmt w:val="decimal"/>
      <w:lvlText w:val=""/>
      <w:lvlJc w:val="left"/>
    </w:lvl>
    <w:lvl w:ilvl="8" w:tplc="C2DC2716">
      <w:numFmt w:val="decimal"/>
      <w:lvlText w:val=""/>
      <w:lvlJc w:val="left"/>
    </w:lvl>
  </w:abstractNum>
  <w:num w:numId="1" w16cid:durableId="752893509">
    <w:abstractNumId w:val="0"/>
    <w:lvlOverride w:ilvl="0">
      <w:startOverride w:val="1"/>
    </w:lvlOverride>
  </w:num>
  <w:num w:numId="2" w16cid:durableId="416175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FC"/>
    <w:rsid w:val="000663FC"/>
    <w:rsid w:val="004734DA"/>
    <w:rsid w:val="004A00EA"/>
    <w:rsid w:val="00A272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0A6E"/>
  <w15:docId w15:val="{626794B2-FBB0-4FFB-A84D-57A1173F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sz w:val="36"/>
      <w:szCs w:val="36"/>
    </w:rPr>
  </w:style>
  <w:style w:type="paragraph" w:styleId="Ttulo2">
    <w:name w:val="heading 2"/>
    <w:uiPriority w:val="9"/>
    <w:semiHidden/>
    <w:unhideWhenUsed/>
    <w:qFormat/>
    <w:pPr>
      <w:spacing w:before="280" w:after="10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734DA"/>
    <w:pPr>
      <w:tabs>
        <w:tab w:val="center" w:pos="4419"/>
        <w:tab w:val="right" w:pos="8838"/>
      </w:tabs>
    </w:pPr>
  </w:style>
  <w:style w:type="character" w:customStyle="1" w:styleId="EncabezadoCar">
    <w:name w:val="Encabezado Car"/>
    <w:basedOn w:val="Fuentedeprrafopredeter"/>
    <w:link w:val="Encabezado"/>
    <w:uiPriority w:val="99"/>
    <w:rsid w:val="004734DA"/>
  </w:style>
  <w:style w:type="paragraph" w:styleId="Piedepgina">
    <w:name w:val="footer"/>
    <w:basedOn w:val="Normal"/>
    <w:link w:val="PiedepginaCar"/>
    <w:uiPriority w:val="99"/>
    <w:unhideWhenUsed/>
    <w:rsid w:val="004734DA"/>
    <w:pPr>
      <w:tabs>
        <w:tab w:val="center" w:pos="4419"/>
        <w:tab w:val="right" w:pos="8838"/>
      </w:tabs>
    </w:pPr>
  </w:style>
  <w:style w:type="character" w:customStyle="1" w:styleId="PiedepginaCar">
    <w:name w:val="Pie de página Car"/>
    <w:basedOn w:val="Fuentedeprrafopredeter"/>
    <w:link w:val="Piedepgina"/>
    <w:uiPriority w:val="99"/>
    <w:rsid w:val="004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1174</Words>
  <Characters>6462</Characters>
  <Application>Microsoft Office Word</Application>
  <DocSecurity>0</DocSecurity>
  <Lines>53</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Milton Cruz Pánuco Castillo</cp:lastModifiedBy>
  <cp:revision>2</cp:revision>
  <dcterms:created xsi:type="dcterms:W3CDTF">2026-05-28T21:52:00Z</dcterms:created>
  <dcterms:modified xsi:type="dcterms:W3CDTF">2026-05-28T21:55:00Z</dcterms:modified>
</cp:coreProperties>
</file>