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theme/themeOverride4.xml" ContentType="application/vnd.openxmlformats-officedocument.themeOverride+xml"/>
  <Override PartName="/word/charts/chart7.xml" ContentType="application/vnd.openxmlformats-officedocument.drawingml.chart+xml"/>
  <Override PartName="/word/theme/themeOverride5.xml" ContentType="application/vnd.openxmlformats-officedocument.themeOverrid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5B6D2" w14:textId="77777777" w:rsidR="0011664F" w:rsidRDefault="0000000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4655EA95" w14:textId="77777777" w:rsidR="0011664F" w:rsidRDefault="00000000">
      <w:pPr>
        <w:spacing w:line="360" w:lineRule="auto"/>
        <w:ind w:left="284"/>
        <w:jc w:val="center"/>
        <w:rPr>
          <w:rFonts w:ascii="Times New Roman" w:hAnsi="Times New Roman" w:cs="Times New Roman"/>
          <w:b/>
          <w:sz w:val="24"/>
          <w:szCs w:val="24"/>
        </w:rPr>
      </w:pPr>
      <w:r>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4FAB80F9" wp14:editId="017FA9ED">
            <wp:simplePos x="0" y="0"/>
            <wp:positionH relativeFrom="margin">
              <wp:align>center</wp:align>
            </wp:positionH>
            <wp:positionV relativeFrom="paragraph">
              <wp:posOffset>804545</wp:posOffset>
            </wp:positionV>
            <wp:extent cx="2232660" cy="15481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232660" cy="1548130"/>
                    </a:xfrm>
                    <a:prstGeom prst="rect">
                      <a:avLst/>
                    </a:prstGeom>
                  </pic:spPr>
                </pic:pic>
              </a:graphicData>
            </a:graphic>
          </wp:anchor>
        </w:drawing>
      </w:r>
      <w:r>
        <w:rPr>
          <w:rFonts w:ascii="Times New Roman" w:hAnsi="Times New Roman" w:cs="Times New Roman"/>
          <w:b/>
          <w:sz w:val="24"/>
          <w:szCs w:val="24"/>
        </w:rPr>
        <w:t>Social Islamic Bank PL</w:t>
      </w:r>
    </w:p>
    <w:p w14:paraId="69151D75" w14:textId="77777777" w:rsidR="0011664F" w:rsidRDefault="0011664F">
      <w:pPr>
        <w:spacing w:line="360" w:lineRule="auto"/>
        <w:ind w:left="284"/>
        <w:jc w:val="center"/>
        <w:rPr>
          <w:rFonts w:ascii="Times New Roman" w:hAnsi="Times New Roman" w:cs="Times New Roman"/>
          <w:b/>
          <w:sz w:val="24"/>
          <w:szCs w:val="24"/>
        </w:rPr>
        <w:sectPr w:rsidR="0011664F">
          <w:footerReference w:type="default" r:id="rId9"/>
          <w:pgSz w:w="11906" w:h="16838"/>
          <w:pgMar w:top="1440" w:right="1440" w:bottom="1440" w:left="2160" w:header="706" w:footer="706" w:gutter="0"/>
          <w:pgNumType w:start="1" w:chapStyle="1"/>
          <w:cols w:space="708"/>
          <w:titlePg/>
          <w:docGrid w:linePitch="360"/>
        </w:sectPr>
      </w:pPr>
    </w:p>
    <w:p w14:paraId="6A180EB5" w14:textId="77777777" w:rsidR="0011664F" w:rsidRDefault="00000000">
      <w:pPr>
        <w:pStyle w:val="Heading1"/>
        <w:spacing w:line="360" w:lineRule="auto"/>
        <w:jc w:val="center"/>
        <w:rPr>
          <w:rFonts w:ascii="Times New Roman" w:hAnsi="Times New Roman" w:cs="Times New Roman"/>
          <w:b/>
          <w:bCs/>
          <w:color w:val="000000" w:themeColor="text1"/>
          <w:sz w:val="24"/>
          <w:szCs w:val="24"/>
        </w:rPr>
      </w:pPr>
      <w:bookmarkStart w:id="0" w:name="_Toc175688643"/>
      <w:r>
        <w:rPr>
          <w:rFonts w:ascii="Times New Roman" w:hAnsi="Times New Roman" w:cs="Times New Roman"/>
          <w:b/>
          <w:bCs/>
          <w:color w:val="000000" w:themeColor="text1"/>
          <w:sz w:val="24"/>
          <w:szCs w:val="24"/>
        </w:rPr>
        <w:lastRenderedPageBreak/>
        <w:t>INTRODUCTION</w:t>
      </w:r>
      <w:bookmarkEnd w:id="0"/>
    </w:p>
    <w:p w14:paraId="37F92399" w14:textId="77777777" w:rsidR="0011664F" w:rsidRDefault="00000000">
      <w:pPr>
        <w:pStyle w:val="Heading1"/>
        <w:spacing w:line="360" w:lineRule="auto"/>
        <w:jc w:val="center"/>
        <w:rPr>
          <w:rFonts w:ascii="Times New Roman" w:hAnsi="Times New Roman" w:cs="Times New Roman"/>
          <w:b/>
          <w:bCs/>
          <w:color w:val="000000" w:themeColor="text1"/>
          <w:sz w:val="24"/>
          <w:szCs w:val="24"/>
        </w:rPr>
      </w:pPr>
      <w:bookmarkStart w:id="1" w:name="_Toc175688644"/>
      <w:r>
        <w:rPr>
          <w:rFonts w:ascii="Times New Roman" w:hAnsi="Times New Roman" w:cs="Times New Roman"/>
          <w:b/>
          <w:bCs/>
          <w:color w:val="000000" w:themeColor="text1"/>
          <w:sz w:val="24"/>
          <w:szCs w:val="24"/>
        </w:rPr>
        <w:t>CHAPTER: 1</w:t>
      </w:r>
      <w:bookmarkEnd w:id="1"/>
    </w:p>
    <w:p w14:paraId="6BD7895C" w14:textId="77777777" w:rsidR="0011664F" w:rsidRDefault="0011664F">
      <w:pPr>
        <w:spacing w:line="360" w:lineRule="auto"/>
        <w:jc w:val="both"/>
        <w:rPr>
          <w:rFonts w:ascii="Times New Roman" w:hAnsi="Times New Roman" w:cs="Times New Roman"/>
          <w:color w:val="000000" w:themeColor="text1"/>
          <w:sz w:val="24"/>
          <w:szCs w:val="24"/>
        </w:rPr>
      </w:pPr>
    </w:p>
    <w:p w14:paraId="46BD7406" w14:textId="77777777" w:rsidR="0011664F" w:rsidRDefault="00000000">
      <w:pPr>
        <w:pStyle w:val="Heading2"/>
        <w:spacing w:line="360" w:lineRule="auto"/>
        <w:rPr>
          <w:rFonts w:ascii="Times New Roman" w:hAnsi="Times New Roman" w:cs="Times New Roman"/>
          <w:b/>
          <w:bCs/>
          <w:color w:val="000000" w:themeColor="text1"/>
          <w:sz w:val="24"/>
          <w:szCs w:val="24"/>
        </w:rPr>
      </w:pPr>
      <w:bookmarkStart w:id="2" w:name="_Toc175688645"/>
      <w:r>
        <w:rPr>
          <w:rFonts w:ascii="Times New Roman" w:hAnsi="Times New Roman" w:cs="Times New Roman"/>
          <w:b/>
          <w:bCs/>
          <w:color w:val="000000" w:themeColor="text1"/>
          <w:sz w:val="24"/>
          <w:szCs w:val="24"/>
        </w:rPr>
        <w:t xml:space="preserve">1.1 </w:t>
      </w:r>
      <w:r>
        <w:rPr>
          <w:rFonts w:ascii="Times New Roman" w:hAnsi="Times New Roman" w:cs="Times New Roman"/>
          <w:b/>
          <w:bCs/>
          <w:color w:val="4472C4" w:themeColor="accent1"/>
          <w:sz w:val="24"/>
          <w:szCs w:val="24"/>
        </w:rPr>
        <w:t>Background of the study</w:t>
      </w:r>
      <w:bookmarkEnd w:id="2"/>
    </w:p>
    <w:p w14:paraId="6D18EFB5" w14:textId="77777777" w:rsidR="0011664F" w:rsidRDefault="0011664F">
      <w:pPr>
        <w:spacing w:line="360" w:lineRule="auto"/>
        <w:jc w:val="both"/>
        <w:rPr>
          <w:rFonts w:ascii="Times New Roman" w:hAnsi="Times New Roman" w:cs="Times New Roman"/>
          <w:color w:val="000000" w:themeColor="text1"/>
          <w:sz w:val="24"/>
          <w:szCs w:val="24"/>
        </w:rPr>
      </w:pPr>
    </w:p>
    <w:p w14:paraId="70B0D150" w14:textId="77777777" w:rsidR="0011664F"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my </w:t>
      </w:r>
      <w:r>
        <w:rPr>
          <w:rFonts w:ascii="Times New Roman" w:hAnsi="Times New Roman" w:cs="Times New Roman"/>
          <w:color w:val="000000" w:themeColor="text1"/>
          <w:sz w:val="24"/>
          <w:szCs w:val="24"/>
          <w:lang w:val="en-US"/>
        </w:rPr>
        <w:t>project</w:t>
      </w:r>
      <w:r>
        <w:rPr>
          <w:rFonts w:ascii="Times New Roman" w:hAnsi="Times New Roman" w:cs="Times New Roman"/>
          <w:color w:val="000000" w:themeColor="text1"/>
          <w:sz w:val="24"/>
          <w:szCs w:val="24"/>
        </w:rPr>
        <w:t xml:space="preserve">, I have been assigned to the Social Islami Bank PLC, </w:t>
      </w:r>
      <w:proofErr w:type="spellStart"/>
      <w:r>
        <w:rPr>
          <w:rFonts w:ascii="Times New Roman" w:hAnsi="Times New Roman" w:cs="Times New Roman"/>
          <w:color w:val="000000" w:themeColor="text1"/>
          <w:sz w:val="24"/>
          <w:szCs w:val="24"/>
        </w:rPr>
        <w:t>Barishal</w:t>
      </w:r>
      <w:proofErr w:type="spellEnd"/>
      <w:r>
        <w:rPr>
          <w:rFonts w:ascii="Times New Roman" w:hAnsi="Times New Roman" w:cs="Times New Roman"/>
          <w:color w:val="000000" w:themeColor="text1"/>
          <w:sz w:val="24"/>
          <w:szCs w:val="24"/>
        </w:rPr>
        <w:t xml:space="preserve"> Branch, located on </w:t>
      </w:r>
      <w:proofErr w:type="spellStart"/>
      <w:r>
        <w:rPr>
          <w:rFonts w:ascii="Times New Roman" w:hAnsi="Times New Roman" w:cs="Times New Roman"/>
          <w:color w:val="000000" w:themeColor="text1"/>
          <w:sz w:val="24"/>
          <w:szCs w:val="24"/>
        </w:rPr>
        <w:t>Kathpatty</w:t>
      </w:r>
      <w:proofErr w:type="spellEnd"/>
      <w:r>
        <w:rPr>
          <w:rFonts w:ascii="Times New Roman" w:hAnsi="Times New Roman" w:cs="Times New Roman"/>
          <w:color w:val="000000" w:themeColor="text1"/>
          <w:sz w:val="24"/>
          <w:szCs w:val="24"/>
        </w:rPr>
        <w:t xml:space="preserve"> Road, </w:t>
      </w:r>
      <w:proofErr w:type="spellStart"/>
      <w:r>
        <w:rPr>
          <w:rFonts w:ascii="Times New Roman" w:hAnsi="Times New Roman" w:cs="Times New Roman"/>
          <w:color w:val="000000" w:themeColor="text1"/>
          <w:sz w:val="24"/>
          <w:szCs w:val="24"/>
        </w:rPr>
        <w:t>Kotwali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Barishal</w:t>
      </w:r>
      <w:proofErr w:type="spellEnd"/>
      <w:r>
        <w:rPr>
          <w:rFonts w:ascii="Times New Roman" w:hAnsi="Times New Roman" w:cs="Times New Roman"/>
          <w:color w:val="000000" w:themeColor="text1"/>
          <w:sz w:val="24"/>
          <w:szCs w:val="24"/>
        </w:rPr>
        <w:t xml:space="preserve">. SIBPLC established on November 22, 1995, second-generation Islamic bank operating under Shariah principles. With a network of 179 branches and 236 sub-branches across the country, the bank also oversees two subsidiaries: SIBPLC Securities PLC and SIBPLC Investment PLC. In 2023, the bank had a paid-up capital of Taka 10858620000. At the </w:t>
      </w:r>
      <w:proofErr w:type="spellStart"/>
      <w:r>
        <w:rPr>
          <w:rFonts w:ascii="Times New Roman" w:hAnsi="Times New Roman" w:cs="Times New Roman"/>
          <w:color w:val="000000" w:themeColor="text1"/>
          <w:sz w:val="24"/>
          <w:szCs w:val="24"/>
        </w:rPr>
        <w:t>Barishal</w:t>
      </w:r>
      <w:proofErr w:type="spellEnd"/>
      <w:r>
        <w:rPr>
          <w:rFonts w:ascii="Times New Roman" w:hAnsi="Times New Roman" w:cs="Times New Roman"/>
          <w:color w:val="000000" w:themeColor="text1"/>
          <w:sz w:val="24"/>
          <w:szCs w:val="24"/>
        </w:rPr>
        <w:t xml:space="preserve"> Branch, I will primarily focus on the General Banking section, one of the two key departments, alongside the Investment Department. I will dedicate my time and efforts to understanding the functions of a banker, and upon completing my </w:t>
      </w:r>
      <w:r>
        <w:rPr>
          <w:rFonts w:ascii="Times New Roman" w:hAnsi="Times New Roman" w:cs="Times New Roman"/>
          <w:color w:val="000000" w:themeColor="text1"/>
          <w:sz w:val="24"/>
          <w:szCs w:val="24"/>
          <w:lang w:val="en-US"/>
        </w:rPr>
        <w:t>project</w:t>
      </w:r>
      <w:r>
        <w:rPr>
          <w:rFonts w:ascii="Times New Roman" w:hAnsi="Times New Roman" w:cs="Times New Roman"/>
          <w:color w:val="000000" w:themeColor="text1"/>
          <w:sz w:val="24"/>
          <w:szCs w:val="24"/>
        </w:rPr>
        <w:t xml:space="preserve"> I will compile a report on the overall banking system of Social Islami Bank PLC, with a special focus on general banking. The report will provide an overview of the organization's history, functions, business philosophy, ownership structure, foreign correspondents, and overseas operations, as well as the benefits offered to customers. Additionally, it will detail the products and services provided by the </w:t>
      </w:r>
      <w:proofErr w:type="spellStart"/>
      <w:r>
        <w:rPr>
          <w:rFonts w:ascii="Times New Roman" w:hAnsi="Times New Roman" w:cs="Times New Roman"/>
          <w:color w:val="000000" w:themeColor="text1"/>
          <w:sz w:val="24"/>
          <w:szCs w:val="24"/>
        </w:rPr>
        <w:t>Barishal</w:t>
      </w:r>
      <w:proofErr w:type="spellEnd"/>
      <w:r>
        <w:rPr>
          <w:rFonts w:ascii="Times New Roman" w:hAnsi="Times New Roman" w:cs="Times New Roman"/>
          <w:color w:val="000000" w:themeColor="text1"/>
          <w:sz w:val="24"/>
          <w:szCs w:val="24"/>
        </w:rPr>
        <w:t xml:space="preserve"> Branch.</w:t>
      </w:r>
    </w:p>
    <w:p w14:paraId="4A5ACCE5" w14:textId="77777777" w:rsidR="0011664F" w:rsidRDefault="00000000">
      <w:pPr>
        <w:pStyle w:val="Heading2"/>
        <w:spacing w:line="360" w:lineRule="auto"/>
        <w:rPr>
          <w:rFonts w:ascii="Times New Roman" w:hAnsi="Times New Roman" w:cs="Times New Roman"/>
          <w:b/>
          <w:bCs/>
          <w:color w:val="000000" w:themeColor="text1"/>
          <w:sz w:val="24"/>
          <w:szCs w:val="24"/>
        </w:rPr>
      </w:pPr>
      <w:bookmarkStart w:id="3" w:name="_Toc175688646"/>
      <w:r>
        <w:rPr>
          <w:rFonts w:ascii="Times New Roman" w:hAnsi="Times New Roman" w:cs="Times New Roman"/>
          <w:b/>
          <w:bCs/>
          <w:color w:val="000000" w:themeColor="text1"/>
          <w:sz w:val="24"/>
          <w:szCs w:val="24"/>
        </w:rPr>
        <w:t>1.2 Origin of the report</w:t>
      </w:r>
      <w:bookmarkEnd w:id="3"/>
    </w:p>
    <w:p w14:paraId="18733726" w14:textId="77777777" w:rsidR="0011664F" w:rsidRDefault="0011664F">
      <w:pPr>
        <w:spacing w:line="360" w:lineRule="auto"/>
        <w:jc w:val="both"/>
        <w:rPr>
          <w:rFonts w:ascii="Times New Roman" w:hAnsi="Times New Roman" w:cs="Times New Roman"/>
          <w:sz w:val="24"/>
          <w:szCs w:val="24"/>
        </w:rPr>
      </w:pPr>
    </w:p>
    <w:p w14:paraId="17176AFF"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 accepted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Pr>
          <w:rFonts w:ascii="Times New Roman" w:hAnsi="Times New Roman" w:cs="Times New Roman"/>
          <w:sz w:val="24"/>
          <w:szCs w:val="24"/>
          <w:lang w:val="en-US"/>
        </w:rPr>
        <w:t>project work</w:t>
      </w:r>
      <w:r>
        <w:rPr>
          <w:rFonts w:ascii="Times New Roman" w:hAnsi="Times New Roman" w:cs="Times New Roman"/>
          <w:sz w:val="24"/>
          <w:szCs w:val="24"/>
        </w:rPr>
        <w:t xml:space="preserve"> with Social Islami Bank PLC, a well-known company in the banking sector. Being an intern at SIBPLC makes me proud, and I know that this experience will be beneficial to me in the future. The preparation of this advance working report is a requirement of the internship program. The biggest obstacle I faced as an intern was applying the theoretical knowledge to practical situations. The following are the goals of the study and the internship program: </w:t>
      </w:r>
    </w:p>
    <w:p w14:paraId="78708955" w14:textId="77777777" w:rsidR="0011664F" w:rsidRDefault="0000000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Acquire and arrange specific job-related knowledge. </w:t>
      </w:r>
    </w:p>
    <w:p w14:paraId="105173C6" w14:textId="77777777" w:rsidR="0011664F" w:rsidRDefault="0000000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Gain exposure to the actual business environment.</w:t>
      </w:r>
    </w:p>
    <w:p w14:paraId="1FD32A01" w14:textId="77777777" w:rsidR="0011664F" w:rsidRDefault="0000000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contrast the real-world situation with the teachings from </w:t>
      </w:r>
      <w:proofErr w:type="spellStart"/>
      <w:r>
        <w:rPr>
          <w:rFonts w:ascii="Times New Roman" w:hAnsi="Times New Roman" w:cs="Times New Roman"/>
          <w:sz w:val="24"/>
          <w:szCs w:val="24"/>
        </w:rPr>
        <w:t>Barishal</w:t>
      </w:r>
      <w:proofErr w:type="spellEnd"/>
      <w:r>
        <w:rPr>
          <w:rFonts w:ascii="Times New Roman" w:hAnsi="Times New Roman" w:cs="Times New Roman"/>
          <w:sz w:val="24"/>
          <w:szCs w:val="24"/>
        </w:rPr>
        <w:t xml:space="preserve"> University. </w:t>
      </w:r>
    </w:p>
    <w:p w14:paraId="02FF2F40" w14:textId="77777777" w:rsidR="0011664F" w:rsidRDefault="0000000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complete the BBA Program's requirement.</w:t>
      </w:r>
    </w:p>
    <w:p w14:paraId="12C45749" w14:textId="77777777" w:rsidR="0011664F" w:rsidRDefault="0011664F">
      <w:pPr>
        <w:pStyle w:val="Heading2"/>
        <w:spacing w:line="360" w:lineRule="auto"/>
        <w:rPr>
          <w:rFonts w:ascii="Times New Roman" w:hAnsi="Times New Roman" w:cs="Times New Roman"/>
          <w:b/>
          <w:bCs/>
          <w:color w:val="000000" w:themeColor="text1"/>
          <w:sz w:val="24"/>
          <w:szCs w:val="24"/>
        </w:rPr>
      </w:pPr>
    </w:p>
    <w:p w14:paraId="1155455F" w14:textId="77777777" w:rsidR="0011664F" w:rsidRDefault="00000000">
      <w:pPr>
        <w:pStyle w:val="Heading2"/>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1.3 Scope of the Study:</w:t>
      </w:r>
    </w:p>
    <w:p w14:paraId="0F52FA52" w14:textId="77777777" w:rsidR="0011664F" w:rsidRDefault="0011664F">
      <w:pPr>
        <w:spacing w:line="360" w:lineRule="auto"/>
        <w:jc w:val="both"/>
        <w:rPr>
          <w:rFonts w:ascii="Times New Roman" w:hAnsi="Times New Roman" w:cs="Times New Roman"/>
          <w:sz w:val="24"/>
          <w:szCs w:val="24"/>
        </w:rPr>
      </w:pPr>
    </w:p>
    <w:p w14:paraId="7D59E717"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 worked in the bank's general banking and investment departments during my internship, which covered a wide range of tasks. I made an effort to watch and comprehend all banking activity, particularly general banking activity, as well as other daily tasks carried out in this branch. I also made an effort to comprehend many topics from the bank employee.</w:t>
      </w:r>
    </w:p>
    <w:p w14:paraId="7D034C3F" w14:textId="77777777" w:rsidR="0011664F" w:rsidRDefault="0011664F">
      <w:pPr>
        <w:spacing w:line="360" w:lineRule="auto"/>
        <w:jc w:val="both"/>
        <w:rPr>
          <w:rFonts w:ascii="Times New Roman" w:hAnsi="Times New Roman" w:cs="Times New Roman"/>
          <w:sz w:val="24"/>
          <w:szCs w:val="24"/>
        </w:rPr>
      </w:pPr>
    </w:p>
    <w:p w14:paraId="02910680" w14:textId="77777777" w:rsidR="0011664F" w:rsidRDefault="0000000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1.4 Objectives of the </w:t>
      </w:r>
      <w:r>
        <w:rPr>
          <w:rFonts w:ascii="Times New Roman" w:hAnsi="Times New Roman" w:cs="Times New Roman"/>
          <w:b/>
          <w:color w:val="000000" w:themeColor="text1"/>
          <w:sz w:val="24"/>
          <w:szCs w:val="24"/>
          <w:lang w:val="en-US"/>
        </w:rPr>
        <w:t>project</w:t>
      </w:r>
      <w:r>
        <w:rPr>
          <w:rFonts w:ascii="Times New Roman" w:hAnsi="Times New Roman" w:cs="Times New Roman"/>
          <w:b/>
          <w:color w:val="000000" w:themeColor="text1"/>
          <w:sz w:val="24"/>
          <w:szCs w:val="24"/>
        </w:rPr>
        <w:t>:</w:t>
      </w:r>
    </w:p>
    <w:p w14:paraId="10B3087C" w14:textId="77777777" w:rsidR="0011664F" w:rsidRDefault="00000000">
      <w:pPr>
        <w:pStyle w:val="NormalWeb"/>
        <w:numPr>
          <w:ilvl w:val="0"/>
          <w:numId w:val="2"/>
        </w:numPr>
        <w:spacing w:line="360" w:lineRule="auto"/>
        <w:jc w:val="both"/>
        <w:rPr>
          <w:lang w:val="en-US"/>
        </w:rPr>
      </w:pPr>
      <w:r>
        <w:rPr>
          <w:lang w:val="en-US"/>
        </w:rPr>
        <w:t>The main goal of this study is to assess the investment management performance of Social Islami Bank PLC (SIBPLC).</w:t>
      </w:r>
    </w:p>
    <w:p w14:paraId="3F59486D" w14:textId="77777777" w:rsidR="0011664F" w:rsidRDefault="00000000">
      <w:pPr>
        <w:pStyle w:val="NormalWeb"/>
        <w:numPr>
          <w:ilvl w:val="0"/>
          <w:numId w:val="2"/>
        </w:numPr>
        <w:spacing w:line="360" w:lineRule="auto"/>
        <w:jc w:val="both"/>
        <w:rPr>
          <w:lang w:val="en-US"/>
        </w:rPr>
      </w:pPr>
      <w:r>
        <w:rPr>
          <w:lang w:val="en-US"/>
        </w:rPr>
        <w:t xml:space="preserve"> The secondary aims of this report include identifying the fundamental criteria for investment and investment management practices in a bank, examining the investment management practices at SIBPLC, highlighting the findings and challenges SIBPLC faces in managing investments, and offering recommendations to improve their investment management.</w:t>
      </w:r>
    </w:p>
    <w:p w14:paraId="5F3C6419" w14:textId="77777777" w:rsidR="0011664F"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1.5 Sources of Data</w:t>
      </w:r>
    </w:p>
    <w:p w14:paraId="2AD8FF81"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This report based on secondary data. The sources of secondary data are</w:t>
      </w:r>
      <w:r>
        <w:rPr>
          <w:rFonts w:ascii="Times New Roman" w:hAnsi="Times New Roman" w:cs="Times New Roman"/>
          <w:b/>
          <w:bCs/>
          <w:sz w:val="24"/>
          <w:szCs w:val="24"/>
        </w:rPr>
        <w:t xml:space="preserve"> </w:t>
      </w:r>
      <w:r>
        <w:rPr>
          <w:rFonts w:ascii="Times New Roman" w:hAnsi="Times New Roman" w:cs="Times New Roman"/>
          <w:sz w:val="24"/>
          <w:szCs w:val="24"/>
        </w:rPr>
        <w:t>Annual reports, manuals, and brochures of Social Islami Bank PLC.</w:t>
      </w:r>
    </w:p>
    <w:p w14:paraId="61CECB55"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process of collecting data:</w:t>
      </w:r>
    </w:p>
    <w:p w14:paraId="555B630E"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Internet.</w:t>
      </w:r>
    </w:p>
    <w:p w14:paraId="2DF3EE7F"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Annual Report of Social Islami Bank PLC</w:t>
      </w:r>
    </w:p>
    <w:p w14:paraId="7E381199" w14:textId="77777777" w:rsidR="0011664F" w:rsidRDefault="00000000">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large-scale analysis wasn't possible SIBPLC due to constraints and restrictions imposed by the banking authority.</w:t>
      </w:r>
    </w:p>
    <w:p w14:paraId="763AE5D3" w14:textId="77777777" w:rsidR="0011664F" w:rsidRDefault="00000000">
      <w:pPr>
        <w:spacing w:before="100" w:beforeAutospacing="1" w:after="100" w:afterAutospacing="1" w:line="360" w:lineRule="auto"/>
        <w:ind w:left="360"/>
        <w:jc w:val="center"/>
        <w:rPr>
          <w:rFonts w:ascii="Times New Roman" w:eastAsia="Times New Roman" w:hAnsi="Times New Roman" w:cs="Times New Roman"/>
          <w:sz w:val="24"/>
          <w:szCs w:val="24"/>
          <w:lang w:val="en-US"/>
        </w:rPr>
      </w:pPr>
      <w:bookmarkStart w:id="4" w:name="_Toc175688650"/>
      <w:r>
        <w:rPr>
          <w:rFonts w:ascii="Times New Roman" w:hAnsi="Times New Roman" w:cs="Times New Roman"/>
          <w:b/>
          <w:sz w:val="24"/>
          <w:szCs w:val="24"/>
        </w:rPr>
        <w:lastRenderedPageBreak/>
        <w:t>CHAPTER: 2</w:t>
      </w:r>
    </w:p>
    <w:p w14:paraId="4C8FBC39" w14:textId="77777777" w:rsidR="0011664F" w:rsidRDefault="00000000">
      <w:pPr>
        <w:pStyle w:val="Heading1"/>
        <w:spacing w:line="36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OVERVIEW OF SIBPLC</w:t>
      </w:r>
    </w:p>
    <w:bookmarkEnd w:id="4"/>
    <w:p w14:paraId="4134B830" w14:textId="77777777" w:rsidR="0011664F" w:rsidRDefault="0011664F">
      <w:pPr>
        <w:shd w:val="clear" w:color="auto" w:fill="FFFFFF"/>
        <w:spacing w:after="0" w:line="360" w:lineRule="auto"/>
        <w:jc w:val="both"/>
        <w:rPr>
          <w:rFonts w:ascii="Times New Roman" w:eastAsia="Times New Roman" w:hAnsi="Times New Roman" w:cs="Times New Roman"/>
          <w:b/>
          <w:color w:val="222222"/>
          <w:sz w:val="24"/>
          <w:szCs w:val="24"/>
          <w:lang w:eastAsia="en-GB"/>
        </w:rPr>
      </w:pPr>
    </w:p>
    <w:p w14:paraId="1E8AEF58" w14:textId="77777777" w:rsidR="0011664F" w:rsidRDefault="00000000">
      <w:pPr>
        <w:pStyle w:val="Heading2"/>
        <w:spacing w:line="360" w:lineRule="auto"/>
        <w:rPr>
          <w:rFonts w:ascii="Times New Roman" w:eastAsia="Times New Roman" w:hAnsi="Times New Roman" w:cs="Times New Roman"/>
          <w:b/>
          <w:bCs/>
          <w:color w:val="auto"/>
          <w:sz w:val="24"/>
          <w:szCs w:val="24"/>
          <w:lang w:eastAsia="en-GB"/>
        </w:rPr>
      </w:pPr>
      <w:bookmarkStart w:id="5" w:name="_Toc175688652"/>
      <w:r>
        <w:rPr>
          <w:rFonts w:ascii="Times New Roman" w:eastAsia="Times New Roman" w:hAnsi="Times New Roman" w:cs="Times New Roman"/>
          <w:b/>
          <w:bCs/>
          <w:color w:val="auto"/>
          <w:sz w:val="24"/>
          <w:szCs w:val="24"/>
          <w:lang w:eastAsia="en-GB"/>
        </w:rPr>
        <w:t>2.1 Background of SIBPLC</w:t>
      </w:r>
      <w:bookmarkEnd w:id="5"/>
    </w:p>
    <w:p w14:paraId="530CB7A4" w14:textId="77777777" w:rsidR="0011664F" w:rsidRDefault="0011664F">
      <w:pPr>
        <w:shd w:val="clear" w:color="auto" w:fill="FFFFFF"/>
        <w:spacing w:after="0" w:line="360" w:lineRule="auto"/>
        <w:jc w:val="both"/>
        <w:rPr>
          <w:rFonts w:ascii="Times New Roman" w:eastAsia="Times New Roman" w:hAnsi="Times New Roman" w:cs="Times New Roman"/>
          <w:b/>
          <w:bCs/>
          <w:color w:val="222222"/>
          <w:sz w:val="24"/>
          <w:szCs w:val="24"/>
          <w:lang w:eastAsia="en-GB"/>
        </w:rPr>
      </w:pPr>
    </w:p>
    <w:p w14:paraId="29EE0305" w14:textId="77777777" w:rsidR="0011664F" w:rsidRDefault="00000000">
      <w:pPr>
        <w:shd w:val="clear" w:color="auto" w:fill="FFFFFF"/>
        <w:spacing w:after="0" w:line="360" w:lineRule="auto"/>
        <w:jc w:val="both"/>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Social Islami Bank PLC was founded on July 5, 1995, by a group of prominent Bangladeshi entrepreneurs and international figures. It began operations on November 22, 1995, with a mission to integrate Islamic principles into economic, banking, and financial activities. SIBPLC aims to address poverty through a participatory banking model, offering modern banking services like various deposit and investment accounts, trade financing, letters of credit, and more. Additionally, SIBPLC focuses on investments in housing, real estate, and various sectors including industrial, agricultural, transport, educational, and health projects. The bank also engages in managing Waqf and Mosque properties and Trust funds in the non-formal sector.</w:t>
      </w:r>
    </w:p>
    <w:tbl>
      <w:tblPr>
        <w:tblW w:w="0" w:type="auto"/>
        <w:tblCellMar>
          <w:top w:w="15" w:type="dxa"/>
          <w:left w:w="15" w:type="dxa"/>
          <w:bottom w:w="15" w:type="dxa"/>
          <w:right w:w="15" w:type="dxa"/>
        </w:tblCellMar>
        <w:tblLook w:val="04A0" w:firstRow="1" w:lastRow="0" w:firstColumn="1" w:lastColumn="0" w:noHBand="0" w:noVBand="1"/>
      </w:tblPr>
      <w:tblGrid>
        <w:gridCol w:w="580"/>
        <w:gridCol w:w="7726"/>
      </w:tblGrid>
      <w:tr w:rsidR="0011664F" w14:paraId="2C6A95AC" w14:textId="77777777">
        <w:tc>
          <w:tcPr>
            <w:tcW w:w="660" w:type="dxa"/>
            <w:tcMar>
              <w:top w:w="0" w:type="dxa"/>
              <w:left w:w="240" w:type="dxa"/>
              <w:bottom w:w="0" w:type="dxa"/>
              <w:right w:w="240" w:type="dxa"/>
            </w:tcMar>
          </w:tcPr>
          <w:p w14:paraId="2AF694A2" w14:textId="77777777" w:rsidR="0011664F" w:rsidRDefault="0011664F">
            <w:pPr>
              <w:spacing w:after="0" w:line="360" w:lineRule="auto"/>
              <w:jc w:val="both"/>
              <w:rPr>
                <w:rFonts w:ascii="Times New Roman" w:eastAsia="Times New Roman" w:hAnsi="Times New Roman" w:cs="Times New Roman"/>
                <w:sz w:val="24"/>
                <w:szCs w:val="24"/>
                <w:lang w:eastAsia="en-GB"/>
              </w:rPr>
            </w:pPr>
          </w:p>
        </w:tc>
        <w:tc>
          <w:tcPr>
            <w:tcW w:w="14310" w:type="dxa"/>
            <w:tcMar>
              <w:top w:w="0" w:type="dxa"/>
              <w:left w:w="0" w:type="dxa"/>
              <w:bottom w:w="0" w:type="dxa"/>
              <w:right w:w="0" w:type="dxa"/>
            </w:tcMar>
            <w:vAlign w:val="center"/>
          </w:tcPr>
          <w:p w14:paraId="50B0DF12" w14:textId="77777777" w:rsidR="0011664F" w:rsidRDefault="0011664F">
            <w:pPr>
              <w:shd w:val="clear" w:color="auto" w:fill="FFFFFF"/>
              <w:spacing w:after="0" w:line="360" w:lineRule="auto"/>
              <w:jc w:val="both"/>
              <w:rPr>
                <w:rFonts w:ascii="Times New Roman" w:eastAsia="Times New Roman" w:hAnsi="Times New Roman" w:cs="Times New Roman"/>
                <w:color w:val="222222"/>
                <w:sz w:val="24"/>
                <w:szCs w:val="24"/>
                <w:lang w:eastAsia="en-GB"/>
              </w:rPr>
            </w:pPr>
          </w:p>
        </w:tc>
      </w:tr>
    </w:tbl>
    <w:p w14:paraId="0FFCC30D" w14:textId="63030722" w:rsidR="0011664F" w:rsidRDefault="00000000">
      <w:pPr>
        <w:pStyle w:val="Heading2"/>
        <w:spacing w:line="360" w:lineRule="auto"/>
        <w:rPr>
          <w:rFonts w:ascii="Times New Roman" w:hAnsi="Times New Roman" w:cs="Times New Roman"/>
          <w:b/>
          <w:bCs/>
          <w:color w:val="000000" w:themeColor="text1"/>
          <w:sz w:val="24"/>
          <w:szCs w:val="24"/>
        </w:rPr>
      </w:pPr>
      <w:bookmarkStart w:id="6" w:name="_Toc175688653"/>
      <w:r>
        <w:rPr>
          <w:rFonts w:ascii="Times New Roman" w:hAnsi="Times New Roman" w:cs="Times New Roman"/>
          <w:b/>
          <w:bCs/>
          <w:color w:val="000000" w:themeColor="text1"/>
          <w:sz w:val="24"/>
          <w:szCs w:val="24"/>
        </w:rPr>
        <w:t>2.</w:t>
      </w:r>
      <w:r w:rsidR="00C64338">
        <w:rPr>
          <w:rFonts w:ascii="Times New Roman" w:hAnsi="Times New Roman" w:cs="Times New Roman"/>
          <w:b/>
          <w:bCs/>
          <w:color w:val="000000" w:themeColor="text1"/>
          <w:sz w:val="24"/>
          <w:szCs w:val="24"/>
        </w:rPr>
        <w:t xml:space="preserve">2 </w:t>
      </w:r>
      <w:r>
        <w:rPr>
          <w:rFonts w:ascii="Times New Roman" w:hAnsi="Times New Roman" w:cs="Times New Roman"/>
          <w:b/>
          <w:bCs/>
          <w:color w:val="000000" w:themeColor="text1"/>
          <w:sz w:val="24"/>
          <w:szCs w:val="24"/>
        </w:rPr>
        <w:t>History of bank</w:t>
      </w:r>
      <w:bookmarkEnd w:id="6"/>
    </w:p>
    <w:p w14:paraId="6ED37BD9" w14:textId="77777777" w:rsidR="0011664F" w:rsidRDefault="00000000">
      <w:pPr>
        <w:shd w:val="clear" w:color="auto" w:fill="FFFFFF"/>
        <w:spacing w:after="15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Established in 1995, Social Islami Bank PLC. (SIBPLC) is the top value-added financial institution in the nation, operating under the principles of Shariah. SIBPLC is made up of SIBPLC Foundation Hospital, SIBPLC Securities PLC, and SIBPLC Investment PLC. With the motto "Working Together for a Caring Society," the three-tier banking model (Formal, Non-formal, and Voluntary), which is a first for Bangladesh's banking industry, injects new energy into welfare banking with the goal of ending the nation's poverty. collaborating together with our stakeholders and esteemed clients to offer them one-stop shopping and technological access to the newest items. Our industry-leading client services have set us apart from the competition. With our clients, we establish enduring business partnerships that support their profitable expansion. With 4000 staff spread among 179 locations and 236 subbranches across the nation, we are always ready to serve you. In order to provide financial services to even the most remote areas of the country, it also operates 375 Agent Banking Outlets. The cornerstone of all of SIBPLC's </w:t>
      </w:r>
      <w:proofErr w:type="spellStart"/>
      <w:r>
        <w:rPr>
          <w:rFonts w:ascii="Times New Roman" w:eastAsia="Times New Roman" w:hAnsi="Times New Roman" w:cs="Times New Roman"/>
          <w:color w:val="000000"/>
          <w:sz w:val="24"/>
          <w:szCs w:val="24"/>
          <w:lang w:eastAsia="en-GB"/>
        </w:rPr>
        <w:t>endeavors</w:t>
      </w:r>
      <w:proofErr w:type="spellEnd"/>
      <w:r>
        <w:rPr>
          <w:rFonts w:ascii="Times New Roman" w:eastAsia="Times New Roman" w:hAnsi="Times New Roman" w:cs="Times New Roman"/>
          <w:color w:val="000000"/>
          <w:sz w:val="24"/>
          <w:szCs w:val="24"/>
          <w:lang w:eastAsia="en-GB"/>
        </w:rPr>
        <w:t xml:space="preserve"> is the firm belief that compassionate societies must be created. We have a deep emotional connection to other people. We think that the financial industry alone is unable to move our society toward justice and </w:t>
      </w:r>
      <w:r>
        <w:rPr>
          <w:rFonts w:ascii="Times New Roman" w:eastAsia="Times New Roman" w:hAnsi="Times New Roman" w:cs="Times New Roman"/>
          <w:color w:val="000000"/>
          <w:sz w:val="24"/>
          <w:szCs w:val="24"/>
          <w:lang w:eastAsia="en-GB"/>
        </w:rPr>
        <w:lastRenderedPageBreak/>
        <w:t>equity. As a result, we take part in a lot of humanitarian CSR initiatives. We work on areas like family empowerment and the eradication of poverty. Unlike others, the Bank sets milestones to become the nation's most comprehensive and humanitarian bank in addition to its primary goal of turning a profit.</w:t>
      </w:r>
    </w:p>
    <w:p w14:paraId="42432187" w14:textId="77777777" w:rsidR="0011664F" w:rsidRDefault="00000000">
      <w:pPr>
        <w:shd w:val="clear" w:color="auto" w:fill="FFFFFF"/>
        <w:spacing w:after="150" w:line="360" w:lineRule="auto"/>
        <w:jc w:val="both"/>
        <w:rPr>
          <w:rFonts w:ascii="Times New Roman" w:eastAsia="Times New Roman" w:hAnsi="Times New Roman" w:cs="Times New Roman"/>
          <w:b/>
          <w:bCs/>
          <w:color w:val="000000"/>
          <w:sz w:val="24"/>
          <w:szCs w:val="24"/>
          <w:lang w:eastAsia="en-GB"/>
        </w:rPr>
      </w:pPr>
      <w:bookmarkStart w:id="7" w:name="_Toc175688654"/>
      <w:r>
        <w:rPr>
          <w:rFonts w:ascii="Times New Roman" w:hAnsi="Times New Roman" w:cs="Times New Roman"/>
          <w:b/>
          <w:bCs/>
          <w:sz w:val="24"/>
          <w:szCs w:val="24"/>
        </w:rPr>
        <w:t>2.3Vision</w:t>
      </w:r>
      <w:bookmarkEnd w:id="7"/>
    </w:p>
    <w:p w14:paraId="246A0EE3" w14:textId="77777777" w:rsidR="0011664F" w:rsidRDefault="00000000">
      <w:pPr>
        <w:shd w:val="clear" w:color="auto" w:fill="FFFFFF"/>
        <w:spacing w:before="100" w:beforeAutospacing="1" w:after="12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Working together for a caring society</w:t>
      </w:r>
    </w:p>
    <w:p w14:paraId="13C9E1F3" w14:textId="77777777" w:rsidR="0011664F" w:rsidRDefault="00000000">
      <w:pPr>
        <w:shd w:val="clear" w:color="auto" w:fill="FFFFFF"/>
        <w:spacing w:before="100" w:beforeAutospacing="1" w:after="12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b/>
          <w:bCs/>
          <w:color w:val="000000"/>
          <w:sz w:val="24"/>
          <w:szCs w:val="24"/>
          <w:lang w:eastAsia="en-GB"/>
        </w:rPr>
        <w:t>Mission</w:t>
      </w:r>
    </w:p>
    <w:p w14:paraId="42EDE5B1" w14:textId="77777777" w:rsidR="0011664F" w:rsidRDefault="00000000">
      <w:pPr>
        <w:pStyle w:val="ListParagraph"/>
        <w:numPr>
          <w:ilvl w:val="0"/>
          <w:numId w:val="4"/>
        </w:numPr>
        <w:shd w:val="clear" w:color="auto" w:fill="FFFFFF"/>
        <w:spacing w:before="100" w:beforeAutospacing="1" w:after="12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Establishing Three Sector Banking Model</w:t>
      </w:r>
    </w:p>
    <w:p w14:paraId="3B919CE7" w14:textId="77777777" w:rsidR="0011664F" w:rsidRDefault="00000000">
      <w:pPr>
        <w:pStyle w:val="ListParagraph"/>
        <w:numPr>
          <w:ilvl w:val="0"/>
          <w:numId w:val="4"/>
        </w:numPr>
        <w:shd w:val="clear" w:color="auto" w:fill="FFFFFF"/>
        <w:spacing w:before="100" w:beforeAutospacing="1" w:after="12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Transformation to a </w:t>
      </w:r>
      <w:proofErr w:type="gramStart"/>
      <w:r>
        <w:rPr>
          <w:rFonts w:ascii="Times New Roman" w:eastAsia="Times New Roman" w:hAnsi="Times New Roman" w:cs="Times New Roman"/>
          <w:color w:val="000000"/>
          <w:sz w:val="24"/>
          <w:szCs w:val="24"/>
          <w:lang w:eastAsia="en-GB"/>
        </w:rPr>
        <w:t>service  oriented</w:t>
      </w:r>
      <w:proofErr w:type="gramEnd"/>
      <w:r>
        <w:rPr>
          <w:rFonts w:ascii="Times New Roman" w:eastAsia="Times New Roman" w:hAnsi="Times New Roman" w:cs="Times New Roman"/>
          <w:color w:val="000000"/>
          <w:sz w:val="24"/>
          <w:szCs w:val="24"/>
          <w:lang w:eastAsia="en-GB"/>
        </w:rPr>
        <w:t xml:space="preserve"> technology driven profit earning Bank</w:t>
      </w:r>
    </w:p>
    <w:p w14:paraId="5C3D2F72" w14:textId="77777777" w:rsidR="0011664F" w:rsidRDefault="00000000">
      <w:pPr>
        <w:pStyle w:val="ListParagraph"/>
        <w:numPr>
          <w:ilvl w:val="0"/>
          <w:numId w:val="4"/>
        </w:numPr>
        <w:shd w:val="clear" w:color="auto" w:fill="FFFFFF"/>
        <w:spacing w:before="100" w:beforeAutospacing="1" w:after="12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Fast, accurate and satisfactory customer service</w:t>
      </w:r>
    </w:p>
    <w:p w14:paraId="325206FA" w14:textId="77777777" w:rsidR="0011664F" w:rsidRDefault="00000000">
      <w:pPr>
        <w:pStyle w:val="ListParagraph"/>
        <w:numPr>
          <w:ilvl w:val="0"/>
          <w:numId w:val="4"/>
        </w:numPr>
        <w:shd w:val="clear" w:color="auto" w:fill="FFFFFF"/>
        <w:spacing w:before="100" w:beforeAutospacing="1" w:after="12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Balanced &amp; sustainable growth strategy</w:t>
      </w:r>
    </w:p>
    <w:p w14:paraId="0FE26124" w14:textId="77777777" w:rsidR="0011664F" w:rsidRDefault="00000000">
      <w:pPr>
        <w:pStyle w:val="ListParagraph"/>
        <w:numPr>
          <w:ilvl w:val="0"/>
          <w:numId w:val="4"/>
        </w:numPr>
        <w:shd w:val="clear" w:color="auto" w:fill="FFFFFF"/>
        <w:spacing w:before="100" w:beforeAutospacing="1" w:after="12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Optimum return on shareholders’ equity</w:t>
      </w:r>
    </w:p>
    <w:p w14:paraId="7AB55E04" w14:textId="77777777" w:rsidR="0011664F" w:rsidRDefault="00000000">
      <w:pPr>
        <w:pStyle w:val="ListParagraph"/>
        <w:numPr>
          <w:ilvl w:val="0"/>
          <w:numId w:val="4"/>
        </w:numPr>
        <w:shd w:val="clear" w:color="auto" w:fill="FFFFFF"/>
        <w:spacing w:before="100" w:beforeAutospacing="1" w:after="12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Introducing innovative Islamic Banking Products</w:t>
      </w:r>
    </w:p>
    <w:p w14:paraId="1AE4CBA6" w14:textId="77777777" w:rsidR="0011664F" w:rsidRDefault="00000000">
      <w:pPr>
        <w:pStyle w:val="ListParagraph"/>
        <w:numPr>
          <w:ilvl w:val="0"/>
          <w:numId w:val="4"/>
        </w:numPr>
        <w:shd w:val="clear" w:color="auto" w:fill="FFFFFF"/>
        <w:spacing w:before="100" w:beforeAutospacing="1" w:after="12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Attracting and retaining high quality human resources</w:t>
      </w:r>
    </w:p>
    <w:p w14:paraId="56654D16" w14:textId="77777777" w:rsidR="0011664F" w:rsidRDefault="00000000">
      <w:pPr>
        <w:pStyle w:val="ListParagraph"/>
        <w:numPr>
          <w:ilvl w:val="0"/>
          <w:numId w:val="4"/>
        </w:numPr>
        <w:shd w:val="clear" w:color="auto" w:fill="FFFFFF"/>
        <w:spacing w:before="100" w:beforeAutospacing="1" w:after="12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Empowering real poor families and creating local income opportunities</w:t>
      </w:r>
    </w:p>
    <w:p w14:paraId="074B1E29" w14:textId="77777777" w:rsidR="0011664F" w:rsidRDefault="00000000">
      <w:pPr>
        <w:pStyle w:val="ListParagraph"/>
        <w:numPr>
          <w:ilvl w:val="0"/>
          <w:numId w:val="4"/>
        </w:numPr>
        <w:shd w:val="clear" w:color="auto" w:fill="FFFFFF"/>
        <w:spacing w:before="100" w:beforeAutospacing="1" w:after="12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Providing support for social benefit organizations by way of mobilizing funds and social services</w:t>
      </w:r>
    </w:p>
    <w:p w14:paraId="67D0C436" w14:textId="77777777" w:rsidR="0011664F" w:rsidRDefault="0011664F">
      <w:pPr>
        <w:pStyle w:val="Heading2"/>
        <w:spacing w:line="360" w:lineRule="auto"/>
        <w:rPr>
          <w:rFonts w:ascii="Times New Roman" w:hAnsi="Times New Roman" w:cs="Times New Roman"/>
          <w:b/>
          <w:bCs/>
          <w:color w:val="000000" w:themeColor="text1"/>
          <w:sz w:val="24"/>
          <w:szCs w:val="24"/>
        </w:rPr>
      </w:pPr>
      <w:bookmarkStart w:id="8" w:name="_Toc175688655"/>
    </w:p>
    <w:p w14:paraId="4F044A18" w14:textId="77777777" w:rsidR="0011664F" w:rsidRDefault="00000000">
      <w:pPr>
        <w:pStyle w:val="Heading2"/>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2.4 Values</w:t>
      </w:r>
      <w:bookmarkEnd w:id="8"/>
    </w:p>
    <w:p w14:paraId="729B6BEF" w14:textId="77777777" w:rsidR="0011664F" w:rsidRDefault="00000000">
      <w:pPr>
        <w:pStyle w:val="ListParagraph"/>
        <w:numPr>
          <w:ilvl w:val="0"/>
          <w:numId w:val="5"/>
        </w:numPr>
        <w:spacing w:line="360" w:lineRule="auto"/>
        <w:rPr>
          <w:rFonts w:ascii="Times New Roman" w:hAnsi="Times New Roman" w:cs="Times New Roman"/>
          <w:b/>
          <w:bCs/>
          <w:sz w:val="24"/>
          <w:szCs w:val="24"/>
          <w:lang w:eastAsia="en-GB"/>
        </w:rPr>
      </w:pPr>
      <w:r>
        <w:rPr>
          <w:rFonts w:ascii="Times New Roman" w:eastAsia="Times New Roman" w:hAnsi="Times New Roman" w:cs="Times New Roman"/>
          <w:color w:val="000000"/>
          <w:sz w:val="24"/>
          <w:szCs w:val="24"/>
          <w:lang w:eastAsia="en-GB"/>
        </w:rPr>
        <w:t>To be honest is ordained by the scripture – we stick to this value in all our service provision.</w:t>
      </w:r>
    </w:p>
    <w:p w14:paraId="4F889B45" w14:textId="77777777" w:rsidR="0011664F" w:rsidRDefault="00000000">
      <w:pPr>
        <w:pStyle w:val="ListParagraph"/>
        <w:numPr>
          <w:ilvl w:val="0"/>
          <w:numId w:val="5"/>
        </w:numPr>
        <w:spacing w:line="360" w:lineRule="auto"/>
        <w:rPr>
          <w:rFonts w:ascii="Times New Roman" w:hAnsi="Times New Roman" w:cs="Times New Roman"/>
          <w:b/>
          <w:bCs/>
          <w:sz w:val="24"/>
          <w:szCs w:val="24"/>
          <w:lang w:eastAsia="en-GB"/>
        </w:rPr>
      </w:pPr>
      <w:r>
        <w:rPr>
          <w:rFonts w:ascii="Times New Roman" w:eastAsia="Times New Roman" w:hAnsi="Times New Roman" w:cs="Times New Roman"/>
          <w:color w:val="000000"/>
          <w:sz w:val="24"/>
          <w:szCs w:val="24"/>
          <w:lang w:eastAsia="en-GB"/>
        </w:rPr>
        <w:t>Remaining transparent in all acts is a virtue that's builds trust - we adhere to it.</w:t>
      </w:r>
    </w:p>
    <w:p w14:paraId="46B99230" w14:textId="77777777" w:rsidR="0011664F" w:rsidRDefault="00000000">
      <w:pPr>
        <w:pStyle w:val="ListParagraph"/>
        <w:numPr>
          <w:ilvl w:val="0"/>
          <w:numId w:val="5"/>
        </w:numPr>
        <w:spacing w:line="360" w:lineRule="auto"/>
        <w:rPr>
          <w:rFonts w:ascii="Times New Roman" w:hAnsi="Times New Roman" w:cs="Times New Roman"/>
          <w:b/>
          <w:bCs/>
          <w:sz w:val="24"/>
          <w:szCs w:val="24"/>
          <w:lang w:eastAsia="en-GB"/>
        </w:rPr>
      </w:pPr>
      <w:r>
        <w:rPr>
          <w:rFonts w:ascii="Times New Roman" w:eastAsia="Times New Roman" w:hAnsi="Times New Roman" w:cs="Times New Roman"/>
          <w:color w:val="000000"/>
          <w:sz w:val="24"/>
          <w:szCs w:val="24"/>
          <w:lang w:eastAsia="en-GB"/>
        </w:rPr>
        <w:t>Efficiency implies perfection in any job done - we strive to render full satisfaction with it.</w:t>
      </w:r>
    </w:p>
    <w:p w14:paraId="582A1965" w14:textId="77777777" w:rsidR="0011664F" w:rsidRDefault="00000000">
      <w:pPr>
        <w:pStyle w:val="ListParagraph"/>
        <w:numPr>
          <w:ilvl w:val="0"/>
          <w:numId w:val="5"/>
        </w:numPr>
        <w:spacing w:line="360" w:lineRule="auto"/>
        <w:rPr>
          <w:rFonts w:ascii="Times New Roman" w:hAnsi="Times New Roman" w:cs="Times New Roman"/>
          <w:b/>
          <w:bCs/>
          <w:sz w:val="24"/>
          <w:szCs w:val="24"/>
          <w:lang w:eastAsia="en-GB"/>
        </w:rPr>
      </w:pPr>
      <w:r>
        <w:rPr>
          <w:rFonts w:ascii="Times New Roman" w:eastAsia="Times New Roman" w:hAnsi="Times New Roman" w:cs="Times New Roman"/>
          <w:color w:val="000000"/>
          <w:sz w:val="24"/>
          <w:szCs w:val="24"/>
          <w:lang w:eastAsia="en-GB"/>
        </w:rPr>
        <w:t xml:space="preserve">To be accountable is to be </w:t>
      </w:r>
      <w:proofErr w:type="spellStart"/>
      <w:r>
        <w:rPr>
          <w:rFonts w:ascii="Times New Roman" w:eastAsia="Times New Roman" w:hAnsi="Times New Roman" w:cs="Times New Roman"/>
          <w:color w:val="000000"/>
          <w:sz w:val="24"/>
          <w:szCs w:val="24"/>
          <w:lang w:eastAsia="en-GB"/>
        </w:rPr>
        <w:t>responsed</w:t>
      </w:r>
      <w:proofErr w:type="spellEnd"/>
      <w:r>
        <w:rPr>
          <w:rFonts w:ascii="Times New Roman" w:eastAsia="Times New Roman" w:hAnsi="Times New Roman" w:cs="Times New Roman"/>
          <w:color w:val="000000"/>
          <w:sz w:val="24"/>
          <w:szCs w:val="24"/>
          <w:lang w:eastAsia="en-GB"/>
        </w:rPr>
        <w:t xml:space="preserve"> SIBPLC and above any suspicion - we are dutifully there.</w:t>
      </w:r>
    </w:p>
    <w:p w14:paraId="621D2F5A" w14:textId="77777777" w:rsidR="0011664F" w:rsidRDefault="00000000">
      <w:pPr>
        <w:pStyle w:val="ListParagraph"/>
        <w:numPr>
          <w:ilvl w:val="0"/>
          <w:numId w:val="5"/>
        </w:numPr>
        <w:spacing w:line="360" w:lineRule="auto"/>
        <w:rPr>
          <w:rFonts w:ascii="Times New Roman" w:hAnsi="Times New Roman" w:cs="Times New Roman"/>
          <w:b/>
          <w:bCs/>
          <w:sz w:val="24"/>
          <w:szCs w:val="24"/>
          <w:lang w:eastAsia="en-GB"/>
        </w:rPr>
      </w:pPr>
      <w:r>
        <w:rPr>
          <w:rFonts w:ascii="Times New Roman" w:eastAsia="Times New Roman" w:hAnsi="Times New Roman" w:cs="Times New Roman"/>
          <w:color w:val="000000"/>
          <w:sz w:val="24"/>
          <w:szCs w:val="24"/>
          <w:lang w:eastAsia="en-GB"/>
        </w:rPr>
        <w:t>SIBPLC enhances economic wellbeing with regard to the bliss of religious ethics.</w:t>
      </w:r>
    </w:p>
    <w:p w14:paraId="14AE6C9C" w14:textId="77777777" w:rsidR="0011664F" w:rsidRDefault="00000000">
      <w:pPr>
        <w:pStyle w:val="ListParagraph"/>
        <w:numPr>
          <w:ilvl w:val="0"/>
          <w:numId w:val="5"/>
        </w:numPr>
        <w:spacing w:line="360" w:lineRule="auto"/>
        <w:rPr>
          <w:rFonts w:ascii="Times New Roman" w:hAnsi="Times New Roman" w:cs="Times New Roman"/>
          <w:b/>
          <w:bCs/>
          <w:sz w:val="24"/>
          <w:szCs w:val="24"/>
          <w:lang w:eastAsia="en-GB"/>
        </w:rPr>
      </w:pPr>
      <w:r>
        <w:rPr>
          <w:rFonts w:ascii="Times New Roman" w:eastAsia="Times New Roman" w:hAnsi="Times New Roman" w:cs="Times New Roman"/>
          <w:color w:val="000000"/>
          <w:sz w:val="24"/>
          <w:szCs w:val="24"/>
          <w:lang w:eastAsia="en-GB"/>
        </w:rPr>
        <w:t>Our minds and eyes are open to the evolution in quality of life to innovate further benefits for the service taker.</w:t>
      </w:r>
    </w:p>
    <w:p w14:paraId="02895925" w14:textId="77777777" w:rsidR="0011664F" w:rsidRDefault="00000000">
      <w:pPr>
        <w:pStyle w:val="ListParagraph"/>
        <w:numPr>
          <w:ilvl w:val="0"/>
          <w:numId w:val="5"/>
        </w:numPr>
        <w:spacing w:line="360" w:lineRule="auto"/>
        <w:rPr>
          <w:rFonts w:ascii="Times New Roman" w:hAnsi="Times New Roman" w:cs="Times New Roman"/>
          <w:b/>
          <w:bCs/>
          <w:sz w:val="24"/>
          <w:szCs w:val="24"/>
          <w:lang w:eastAsia="en-GB"/>
        </w:rPr>
      </w:pPr>
      <w:r>
        <w:rPr>
          <w:rFonts w:ascii="Times New Roman" w:eastAsia="Times New Roman" w:hAnsi="Times New Roman" w:cs="Times New Roman"/>
          <w:color w:val="000000"/>
          <w:sz w:val="24"/>
          <w:szCs w:val="24"/>
          <w:lang w:eastAsia="en-GB"/>
        </w:rPr>
        <w:lastRenderedPageBreak/>
        <w:t>Flexibility leads to better understanding and greater satisfaction - we pursue the quality.</w:t>
      </w:r>
    </w:p>
    <w:p w14:paraId="6A2D83F5" w14:textId="77777777" w:rsidR="0011664F" w:rsidRDefault="00000000">
      <w:pPr>
        <w:pStyle w:val="ListParagraph"/>
        <w:numPr>
          <w:ilvl w:val="0"/>
          <w:numId w:val="5"/>
        </w:numPr>
        <w:spacing w:line="360" w:lineRule="auto"/>
        <w:rPr>
          <w:rFonts w:ascii="Times New Roman" w:hAnsi="Times New Roman" w:cs="Times New Roman"/>
          <w:b/>
          <w:bCs/>
          <w:sz w:val="24"/>
          <w:szCs w:val="24"/>
          <w:lang w:eastAsia="en-GB"/>
        </w:rPr>
      </w:pPr>
      <w:r>
        <w:rPr>
          <w:rFonts w:ascii="Times New Roman" w:eastAsia="Times New Roman" w:hAnsi="Times New Roman" w:cs="Times New Roman"/>
          <w:color w:val="000000"/>
          <w:sz w:val="24"/>
          <w:szCs w:val="24"/>
          <w:lang w:eastAsia="en-GB"/>
        </w:rPr>
        <w:t>Customers must feel secure with all our products and services - we keep on ensuring it.</w:t>
      </w:r>
    </w:p>
    <w:p w14:paraId="6F2C2B97" w14:textId="77777777" w:rsidR="0011664F" w:rsidRDefault="00000000">
      <w:pPr>
        <w:pStyle w:val="ListParagraph"/>
        <w:numPr>
          <w:ilvl w:val="0"/>
          <w:numId w:val="5"/>
        </w:numPr>
        <w:spacing w:line="360" w:lineRule="auto"/>
        <w:rPr>
          <w:rFonts w:ascii="Times New Roman" w:hAnsi="Times New Roman" w:cs="Times New Roman"/>
          <w:b/>
          <w:bCs/>
          <w:sz w:val="24"/>
          <w:szCs w:val="24"/>
          <w:lang w:eastAsia="en-GB"/>
        </w:rPr>
      </w:pPr>
      <w:r>
        <w:rPr>
          <w:rFonts w:ascii="Times New Roman" w:hAnsi="Times New Roman" w:cs="Times New Roman"/>
          <w:b/>
          <w:bCs/>
          <w:sz w:val="24"/>
          <w:szCs w:val="24"/>
        </w:rPr>
        <w:t>Products &amp; Services</w:t>
      </w:r>
    </w:p>
    <w:p w14:paraId="0C912BAE"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 types of products. There are deposit products and investment products. SIBPLC provides ATM service, Locker service.</w:t>
      </w:r>
    </w:p>
    <w:p w14:paraId="38457460" w14:textId="77777777" w:rsidR="0011664F"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Deposit products:</w:t>
      </w:r>
    </w:p>
    <w:p w14:paraId="5B8E4943" w14:textId="77777777" w:rsidR="0011664F" w:rsidRDefault="0000000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Al-</w:t>
      </w:r>
      <w:proofErr w:type="spellStart"/>
      <w:r>
        <w:rPr>
          <w:rFonts w:ascii="Times New Roman" w:hAnsi="Times New Roman" w:cs="Times New Roman"/>
          <w:sz w:val="24"/>
          <w:szCs w:val="24"/>
        </w:rPr>
        <w:t>WasiyahBilWaqf</w:t>
      </w:r>
      <w:proofErr w:type="spellEnd"/>
      <w:r>
        <w:rPr>
          <w:rFonts w:ascii="Times New Roman" w:hAnsi="Times New Roman" w:cs="Times New Roman"/>
          <w:sz w:val="24"/>
          <w:szCs w:val="24"/>
        </w:rPr>
        <w:t>(cash)Account</w:t>
      </w:r>
    </w:p>
    <w:p w14:paraId="7C9D66A1" w14:textId="77777777" w:rsidR="0011664F" w:rsidRDefault="00000000">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Mudaraba</w:t>
      </w:r>
      <w:proofErr w:type="spellEnd"/>
      <w:r>
        <w:rPr>
          <w:rFonts w:ascii="Times New Roman" w:hAnsi="Times New Roman" w:cs="Times New Roman"/>
          <w:sz w:val="24"/>
          <w:szCs w:val="24"/>
        </w:rPr>
        <w:t xml:space="preserve"> Scheme Deposits</w:t>
      </w:r>
    </w:p>
    <w:p w14:paraId="3D771FC8" w14:textId="77777777" w:rsidR="0011664F" w:rsidRDefault="0000000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Al Wadiah Current Account</w:t>
      </w:r>
    </w:p>
    <w:p w14:paraId="1E0B07B6" w14:textId="77777777" w:rsidR="0011664F" w:rsidRDefault="00000000">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Mudaraba</w:t>
      </w:r>
      <w:proofErr w:type="spellEnd"/>
      <w:r>
        <w:rPr>
          <w:rFonts w:ascii="Times New Roman" w:hAnsi="Times New Roman" w:cs="Times New Roman"/>
          <w:sz w:val="24"/>
          <w:szCs w:val="24"/>
        </w:rPr>
        <w:t xml:space="preserve"> Savings Deposits</w:t>
      </w:r>
    </w:p>
    <w:p w14:paraId="2833929B" w14:textId="77777777" w:rsidR="0011664F" w:rsidRDefault="00000000">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Mudaraba</w:t>
      </w:r>
      <w:proofErr w:type="spellEnd"/>
      <w:r>
        <w:rPr>
          <w:rFonts w:ascii="Times New Roman" w:hAnsi="Times New Roman" w:cs="Times New Roman"/>
          <w:sz w:val="24"/>
          <w:szCs w:val="24"/>
        </w:rPr>
        <w:t xml:space="preserve"> Term Deposit</w:t>
      </w:r>
    </w:p>
    <w:p w14:paraId="5D8C14B5" w14:textId="77777777" w:rsidR="0011664F" w:rsidRDefault="00000000">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Mudaraba</w:t>
      </w:r>
      <w:proofErr w:type="spellEnd"/>
      <w:r>
        <w:rPr>
          <w:rFonts w:ascii="Times New Roman" w:hAnsi="Times New Roman" w:cs="Times New Roman"/>
          <w:sz w:val="24"/>
          <w:szCs w:val="24"/>
        </w:rPr>
        <w:t xml:space="preserve"> Notice Deposit</w:t>
      </w:r>
    </w:p>
    <w:p w14:paraId="620339C5" w14:textId="77777777" w:rsidR="0011664F" w:rsidRDefault="0000000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Cash Waqf. Deposit</w:t>
      </w:r>
    </w:p>
    <w:p w14:paraId="30CC287D" w14:textId="77777777" w:rsidR="0011664F" w:rsidRDefault="0000000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SIBPLC Super Savings Account</w:t>
      </w:r>
    </w:p>
    <w:p w14:paraId="233A08CC"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INVESTMENT PRODUCTS:</w:t>
      </w:r>
    </w:p>
    <w:p w14:paraId="0470353B" w14:textId="77777777" w:rsidR="0011664F" w:rsidRDefault="000000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Bai -</w:t>
      </w:r>
      <w:proofErr w:type="spellStart"/>
      <w:r>
        <w:rPr>
          <w:rFonts w:ascii="Times New Roman" w:hAnsi="Times New Roman" w:cs="Times New Roman"/>
          <w:sz w:val="24"/>
          <w:szCs w:val="24"/>
        </w:rPr>
        <w:t>Muajjal</w:t>
      </w:r>
      <w:proofErr w:type="spellEnd"/>
    </w:p>
    <w:p w14:paraId="5FB6D7F9" w14:textId="77777777" w:rsidR="0011664F" w:rsidRDefault="000000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HPSM</w:t>
      </w:r>
    </w:p>
    <w:p w14:paraId="04884680" w14:textId="77777777" w:rsidR="0011664F" w:rsidRDefault="000000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HPSM-IJARA</w:t>
      </w:r>
    </w:p>
    <w:p w14:paraId="7B054435" w14:textId="77777777" w:rsidR="0011664F" w:rsidRDefault="000000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Murabaha</w:t>
      </w:r>
    </w:p>
    <w:p w14:paraId="1416AFCD" w14:textId="77777777" w:rsidR="0011664F" w:rsidRDefault="00000000">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Musharaka</w:t>
      </w:r>
      <w:proofErr w:type="spellEnd"/>
    </w:p>
    <w:p w14:paraId="4562F967" w14:textId="77777777" w:rsidR="0011664F" w:rsidRDefault="000000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Bill Purchase</w:t>
      </w:r>
    </w:p>
    <w:p w14:paraId="0106CB86" w14:textId="77777777" w:rsidR="0011664F" w:rsidRDefault="000000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Bai-</w:t>
      </w:r>
      <w:proofErr w:type="spellStart"/>
      <w:r>
        <w:rPr>
          <w:rFonts w:ascii="Times New Roman" w:hAnsi="Times New Roman" w:cs="Times New Roman"/>
          <w:sz w:val="24"/>
          <w:szCs w:val="24"/>
        </w:rPr>
        <w:t>salam</w:t>
      </w:r>
      <w:proofErr w:type="spellEnd"/>
      <w:r>
        <w:rPr>
          <w:rFonts w:ascii="Times New Roman" w:hAnsi="Times New Roman" w:cs="Times New Roman"/>
          <w:sz w:val="24"/>
          <w:szCs w:val="24"/>
        </w:rPr>
        <w:t xml:space="preserve"> </w:t>
      </w:r>
    </w:p>
    <w:p w14:paraId="7CBA84C1" w14:textId="77777777" w:rsidR="0011664F" w:rsidRDefault="00000000">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Quard</w:t>
      </w:r>
      <w:proofErr w:type="spellEnd"/>
    </w:p>
    <w:p w14:paraId="1A83DF58" w14:textId="77777777" w:rsidR="0011664F" w:rsidRDefault="000000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SIBPLC Islamic Auto Finance</w:t>
      </w:r>
    </w:p>
    <w:p w14:paraId="501C0251" w14:textId="77777777" w:rsidR="0011664F" w:rsidRDefault="000000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SIBPLC Islamic Home Finance</w:t>
      </w:r>
    </w:p>
    <w:p w14:paraId="5D91C4FA" w14:textId="77777777" w:rsidR="0011664F" w:rsidRDefault="000000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Islamic Consumer Finance</w:t>
      </w:r>
    </w:p>
    <w:p w14:paraId="3C3E85B5" w14:textId="77777777" w:rsidR="0011664F" w:rsidRDefault="00000000">
      <w:pPr>
        <w:numPr>
          <w:ilvl w:val="0"/>
          <w:numId w:val="8"/>
        </w:numPr>
        <w:spacing w:before="100" w:beforeAutospacing="1" w:after="100" w:afterAutospacing="1" w:line="360" w:lineRule="auto"/>
        <w:rPr>
          <w:rFonts w:ascii="Times New Roman" w:eastAsia="Times New Roman" w:hAnsi="Times New Roman" w:cs="Times New Roman"/>
          <w:color w:val="000000" w:themeColor="text1"/>
          <w:sz w:val="24"/>
          <w:szCs w:val="24"/>
          <w:lang w:val="en-US"/>
        </w:rPr>
      </w:pPr>
      <w:r>
        <w:rPr>
          <w:rFonts w:ascii="Times New Roman" w:hAnsi="Times New Roman" w:cs="Times New Roman"/>
          <w:sz w:val="24"/>
          <w:szCs w:val="24"/>
        </w:rPr>
        <w:t xml:space="preserve">SIBPLC Retail Investment for </w:t>
      </w:r>
    </w:p>
    <w:p w14:paraId="459C5741" w14:textId="77777777" w:rsidR="0011664F" w:rsidRDefault="00000000">
      <w:pPr>
        <w:numPr>
          <w:ilvl w:val="0"/>
          <w:numId w:val="8"/>
        </w:numPr>
        <w:spacing w:before="100" w:beforeAutospacing="1" w:after="100" w:afterAutospacing="1" w:line="360" w:lineRule="auto"/>
        <w:rPr>
          <w:rFonts w:ascii="Times New Roman" w:eastAsia="Times New Roman" w:hAnsi="Times New Roman" w:cs="Times New Roman"/>
          <w:color w:val="000000" w:themeColor="text1"/>
          <w:sz w:val="24"/>
          <w:szCs w:val="24"/>
          <w:lang w:val="en-US"/>
        </w:rPr>
      </w:pPr>
      <w:proofErr w:type="spellStart"/>
      <w:r>
        <w:rPr>
          <w:rFonts w:ascii="Times New Roman" w:eastAsia="Times New Roman" w:hAnsi="Times New Roman" w:cs="Times New Roman"/>
          <w:color w:val="000000" w:themeColor="text1"/>
          <w:sz w:val="24"/>
          <w:szCs w:val="24"/>
          <w:lang w:val="en-US"/>
        </w:rPr>
        <w:t>Mudaraba</w:t>
      </w:r>
      <w:proofErr w:type="spellEnd"/>
      <w:r>
        <w:rPr>
          <w:rFonts w:ascii="Times New Roman" w:eastAsia="Times New Roman" w:hAnsi="Times New Roman" w:cs="Times New Roman"/>
          <w:color w:val="000000" w:themeColor="text1"/>
          <w:sz w:val="24"/>
          <w:szCs w:val="24"/>
          <w:lang w:val="en-US"/>
        </w:rPr>
        <w:t xml:space="preserve"> Special Deposit Pension Scheme (DPS - Deposit Pension Scheme)</w:t>
      </w:r>
    </w:p>
    <w:p w14:paraId="19CC450A" w14:textId="77777777" w:rsidR="0011664F" w:rsidRDefault="0011664F">
      <w:pPr>
        <w:pStyle w:val="Heading2"/>
        <w:spacing w:line="360" w:lineRule="auto"/>
        <w:rPr>
          <w:rFonts w:ascii="Times New Roman" w:hAnsi="Times New Roman" w:cs="Times New Roman"/>
          <w:color w:val="000000" w:themeColor="text1"/>
          <w:sz w:val="24"/>
          <w:szCs w:val="24"/>
        </w:rPr>
      </w:pPr>
    </w:p>
    <w:p w14:paraId="4ECB3E8E" w14:textId="77777777" w:rsidR="00C64338" w:rsidRDefault="00C64338" w:rsidP="00C64338"/>
    <w:p w14:paraId="365234C9" w14:textId="2EABB62E" w:rsidR="00C64338" w:rsidRPr="00C64338" w:rsidRDefault="00C64338" w:rsidP="00C64338">
      <w:pPr>
        <w:jc w:val="center"/>
        <w:rPr>
          <w:sz w:val="28"/>
          <w:szCs w:val="28"/>
        </w:rPr>
      </w:pPr>
      <w:r w:rsidRPr="00C64338">
        <w:rPr>
          <w:sz w:val="28"/>
          <w:szCs w:val="28"/>
        </w:rPr>
        <w:t>CHAPTER:3</w:t>
      </w:r>
    </w:p>
    <w:p w14:paraId="143DF4FB" w14:textId="77777777" w:rsidR="00C64338" w:rsidRDefault="00C64338" w:rsidP="00C64338"/>
    <w:p w14:paraId="5C362855" w14:textId="77777777" w:rsidR="00C64338" w:rsidRPr="00C64338" w:rsidRDefault="00C64338" w:rsidP="00C64338"/>
    <w:p w14:paraId="4C813DBD" w14:textId="504D4CAD" w:rsidR="0011664F" w:rsidRDefault="00000000">
      <w:pPr>
        <w:pStyle w:val="Heading2"/>
        <w:spacing w:line="360" w:lineRule="auto"/>
        <w:rPr>
          <w:rFonts w:ascii="Times New Roman" w:hAnsi="Times New Roman" w:cs="Times New Roman"/>
          <w:b/>
          <w:sz w:val="24"/>
          <w:szCs w:val="24"/>
        </w:rPr>
      </w:pPr>
      <w:bookmarkStart w:id="9" w:name="_Toc175688660"/>
      <w:r>
        <w:rPr>
          <w:rFonts w:ascii="Times New Roman" w:hAnsi="Times New Roman" w:cs="Times New Roman"/>
          <w:b/>
          <w:color w:val="000000" w:themeColor="text1"/>
          <w:sz w:val="24"/>
          <w:szCs w:val="24"/>
        </w:rPr>
        <w:t>3.</w:t>
      </w:r>
      <w:r w:rsidR="00C64338">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Cheque Delivery</w:t>
      </w:r>
      <w:r>
        <w:rPr>
          <w:rFonts w:ascii="Times New Roman" w:hAnsi="Times New Roman" w:cs="Times New Roman"/>
          <w:b/>
          <w:sz w:val="24"/>
          <w:szCs w:val="24"/>
        </w:rPr>
        <w:t>:</w:t>
      </w:r>
      <w:bookmarkEnd w:id="9"/>
    </w:p>
    <w:p w14:paraId="152A62D7" w14:textId="77777777" w:rsidR="0011664F" w:rsidRDefault="00000000">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Customers are required to wait for their check book after submitting a check requisition. Typically, it takes a few working days after a check request for the appropriate customers' check books to be delivered. Following that, clients must pick up their checkbook at our branch.</w:t>
      </w:r>
    </w:p>
    <w:p w14:paraId="161E8A28" w14:textId="77777777" w:rsidR="0011664F" w:rsidRDefault="0011664F">
      <w:pPr>
        <w:spacing w:after="0" w:line="360" w:lineRule="auto"/>
        <w:jc w:val="both"/>
        <w:rPr>
          <w:rFonts w:ascii="Times New Roman" w:eastAsia="Times New Roman" w:hAnsi="Times New Roman" w:cs="Times New Roman"/>
          <w:sz w:val="24"/>
          <w:szCs w:val="24"/>
          <w:lang w:val="en-US"/>
        </w:rPr>
      </w:pPr>
    </w:p>
    <w:p w14:paraId="2CA6CEEA" w14:textId="0BF205AA" w:rsidR="0011664F" w:rsidRDefault="00000000">
      <w:pPr>
        <w:pStyle w:val="Heading2"/>
        <w:spacing w:line="360" w:lineRule="auto"/>
        <w:rPr>
          <w:rFonts w:ascii="Times New Roman" w:hAnsi="Times New Roman" w:cs="Times New Roman"/>
          <w:b/>
          <w:bCs/>
          <w:sz w:val="24"/>
          <w:szCs w:val="24"/>
        </w:rPr>
      </w:pPr>
      <w:bookmarkStart w:id="10" w:name="_Toc175688661"/>
      <w:r>
        <w:rPr>
          <w:rFonts w:ascii="Times New Roman" w:hAnsi="Times New Roman" w:cs="Times New Roman"/>
          <w:b/>
          <w:bCs/>
          <w:color w:val="000000" w:themeColor="text1"/>
          <w:sz w:val="24"/>
          <w:szCs w:val="24"/>
        </w:rPr>
        <w:t>3.</w:t>
      </w:r>
      <w:r w:rsidR="00C64338">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rPr>
        <w:t xml:space="preserve"> Cheque Issue</w:t>
      </w:r>
      <w:r>
        <w:rPr>
          <w:rFonts w:ascii="Times New Roman" w:hAnsi="Times New Roman" w:cs="Times New Roman"/>
          <w:b/>
          <w:bCs/>
          <w:sz w:val="24"/>
          <w:szCs w:val="24"/>
        </w:rPr>
        <w:t>:</w:t>
      </w:r>
      <w:bookmarkEnd w:id="10"/>
    </w:p>
    <w:p w14:paraId="165CAB32" w14:textId="77777777" w:rsidR="0011664F" w:rsidRDefault="00000000">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Customers must sign their checkbook in a register book when they visit our location to pick it up. I then gave them their checkbook and issued it. Following the issuance of their checkbook, clients are free to use it whenever they choose. However, it must occur between 10 a.m. and 4 p.m., which is transaction hour.</w:t>
      </w:r>
    </w:p>
    <w:p w14:paraId="7C205BE0" w14:textId="77777777" w:rsidR="0011664F" w:rsidRDefault="0011664F">
      <w:pPr>
        <w:spacing w:line="360" w:lineRule="auto"/>
        <w:jc w:val="both"/>
        <w:rPr>
          <w:rFonts w:ascii="Times New Roman" w:eastAsia="Times New Roman" w:hAnsi="Times New Roman" w:cs="Times New Roman"/>
          <w:sz w:val="24"/>
          <w:szCs w:val="24"/>
          <w:lang w:val="en-US"/>
        </w:rPr>
      </w:pPr>
    </w:p>
    <w:p w14:paraId="0071A1DB" w14:textId="597797B6" w:rsidR="0011664F" w:rsidRDefault="00000000">
      <w:pPr>
        <w:pStyle w:val="Heading2"/>
        <w:spacing w:line="360" w:lineRule="auto"/>
        <w:rPr>
          <w:rFonts w:ascii="Times New Roman" w:hAnsi="Times New Roman" w:cs="Times New Roman"/>
          <w:sz w:val="24"/>
          <w:szCs w:val="24"/>
        </w:rPr>
      </w:pPr>
      <w:bookmarkStart w:id="11" w:name="_Toc175688662"/>
      <w:r>
        <w:rPr>
          <w:rFonts w:ascii="Times New Roman" w:hAnsi="Times New Roman" w:cs="Times New Roman"/>
          <w:b/>
          <w:bCs/>
          <w:color w:val="000000" w:themeColor="text1"/>
          <w:sz w:val="24"/>
          <w:szCs w:val="24"/>
        </w:rPr>
        <w:t>3.</w:t>
      </w:r>
      <w:r w:rsidR="00C64338">
        <w:rPr>
          <w:rFonts w:ascii="Times New Roman" w:hAnsi="Times New Roman" w:cs="Times New Roman"/>
          <w:b/>
          <w:bCs/>
          <w:color w:val="000000" w:themeColor="text1"/>
          <w:sz w:val="24"/>
          <w:szCs w:val="24"/>
        </w:rPr>
        <w:t xml:space="preserve">3 </w:t>
      </w:r>
      <w:r>
        <w:rPr>
          <w:rFonts w:ascii="Times New Roman" w:hAnsi="Times New Roman" w:cs="Times New Roman"/>
          <w:b/>
          <w:bCs/>
          <w:color w:val="000000" w:themeColor="text1"/>
          <w:sz w:val="24"/>
          <w:szCs w:val="24"/>
        </w:rPr>
        <w:t>Client Account Statement</w:t>
      </w:r>
      <w:r>
        <w:rPr>
          <w:rFonts w:ascii="Times New Roman" w:hAnsi="Times New Roman" w:cs="Times New Roman"/>
          <w:sz w:val="24"/>
          <w:szCs w:val="24"/>
        </w:rPr>
        <w:t>:</w:t>
      </w:r>
      <w:bookmarkEnd w:id="11"/>
    </w:p>
    <w:p w14:paraId="225AFD3E" w14:textId="77777777" w:rsidR="0011664F" w:rsidRDefault="00000000">
      <w:pPr>
        <w:spacing w:after="0" w:line="360" w:lineRule="auto"/>
        <w:jc w:val="both"/>
        <w:rPr>
          <w:rFonts w:ascii="Times New Roman" w:eastAsia="Times New Roman" w:hAnsi="Times New Roman" w:cs="Times New Roman"/>
          <w:sz w:val="24"/>
          <w:szCs w:val="24"/>
          <w:lang w:val="en-US"/>
        </w:rPr>
      </w:pPr>
      <w:bookmarkStart w:id="12" w:name="_Toc175688663"/>
      <w:r>
        <w:rPr>
          <w:rFonts w:ascii="Times New Roman" w:eastAsia="Times New Roman" w:hAnsi="Times New Roman" w:cs="Times New Roman"/>
          <w:sz w:val="24"/>
          <w:szCs w:val="24"/>
          <w:lang w:val="en-US"/>
        </w:rPr>
        <w:t xml:space="preserve">A few clients request to see their bank account statement. I provided our consumers with bank account statements as per their request. No fees were applied for the bank account statement. </w:t>
      </w:r>
    </w:p>
    <w:p w14:paraId="17B1ED39" w14:textId="77777777" w:rsidR="0011664F" w:rsidRDefault="0011664F">
      <w:pPr>
        <w:spacing w:after="0" w:line="360" w:lineRule="auto"/>
        <w:jc w:val="both"/>
        <w:rPr>
          <w:rFonts w:ascii="Times New Roman" w:eastAsia="Times New Roman" w:hAnsi="Times New Roman" w:cs="Times New Roman"/>
          <w:sz w:val="24"/>
          <w:szCs w:val="24"/>
          <w:lang w:val="en-US"/>
        </w:rPr>
      </w:pPr>
    </w:p>
    <w:p w14:paraId="1FE65D71" w14:textId="1A8D99DB" w:rsidR="0011664F" w:rsidRDefault="00000000">
      <w:pPr>
        <w:pStyle w:val="Heading2"/>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w:t>
      </w:r>
      <w:r w:rsidR="00C64338">
        <w:rPr>
          <w:rFonts w:ascii="Times New Roman" w:hAnsi="Times New Roman" w:cs="Times New Roman"/>
          <w:b/>
          <w:bCs/>
          <w:color w:val="000000" w:themeColor="text1"/>
          <w:sz w:val="24"/>
          <w:szCs w:val="24"/>
        </w:rPr>
        <w:t xml:space="preserve">4 </w:t>
      </w:r>
      <w:r>
        <w:rPr>
          <w:rFonts w:ascii="Times New Roman" w:hAnsi="Times New Roman" w:cs="Times New Roman"/>
          <w:b/>
          <w:bCs/>
          <w:color w:val="000000" w:themeColor="text1"/>
          <w:sz w:val="24"/>
          <w:szCs w:val="24"/>
        </w:rPr>
        <w:t>Client Data entry or Edit:</w:t>
      </w:r>
      <w:bookmarkEnd w:id="12"/>
    </w:p>
    <w:p w14:paraId="639B7CF2" w14:textId="77777777" w:rsidR="0011664F" w:rsidRDefault="00000000">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Clients provide the needed information on the account opening form. After I've completed the form, I have to check it. The data must then be entered into my computer using the SIBPLC banking program. I have to complete the banking program on a minimum of two (2) pages. I can use this software to alter the data as well, if needed.</w:t>
      </w:r>
    </w:p>
    <w:p w14:paraId="5F153DA5" w14:textId="77777777" w:rsidR="0011664F" w:rsidRDefault="0011664F">
      <w:pPr>
        <w:pStyle w:val="ListParagraph"/>
        <w:spacing w:line="360" w:lineRule="auto"/>
        <w:jc w:val="both"/>
        <w:rPr>
          <w:rFonts w:ascii="Times New Roman" w:hAnsi="Times New Roman" w:cs="Times New Roman"/>
          <w:sz w:val="24"/>
          <w:szCs w:val="24"/>
        </w:rPr>
      </w:pPr>
    </w:p>
    <w:p w14:paraId="4CEAD07C" w14:textId="77777777" w:rsidR="0011664F" w:rsidRDefault="0011664F">
      <w:pPr>
        <w:pStyle w:val="ListParagraph"/>
        <w:spacing w:line="360" w:lineRule="auto"/>
        <w:jc w:val="both"/>
        <w:rPr>
          <w:rFonts w:ascii="Times New Roman" w:hAnsi="Times New Roman" w:cs="Times New Roman"/>
          <w:sz w:val="24"/>
          <w:szCs w:val="24"/>
        </w:rPr>
      </w:pPr>
    </w:p>
    <w:p w14:paraId="674D1450" w14:textId="77777777" w:rsidR="0011664F" w:rsidRDefault="0011664F">
      <w:pPr>
        <w:pStyle w:val="ListParagraph"/>
        <w:spacing w:line="360" w:lineRule="auto"/>
        <w:jc w:val="both"/>
        <w:rPr>
          <w:rFonts w:ascii="Times New Roman" w:hAnsi="Times New Roman" w:cs="Times New Roman"/>
          <w:sz w:val="24"/>
          <w:szCs w:val="24"/>
        </w:rPr>
      </w:pPr>
    </w:p>
    <w:p w14:paraId="13113727" w14:textId="77777777" w:rsidR="0011664F" w:rsidRDefault="0011664F">
      <w:pPr>
        <w:pStyle w:val="ListParagraph"/>
        <w:spacing w:line="360" w:lineRule="auto"/>
        <w:jc w:val="both"/>
        <w:rPr>
          <w:rFonts w:ascii="Times New Roman" w:hAnsi="Times New Roman" w:cs="Times New Roman"/>
          <w:sz w:val="24"/>
          <w:szCs w:val="24"/>
        </w:rPr>
      </w:pPr>
    </w:p>
    <w:p w14:paraId="167D90D6" w14:textId="77777777" w:rsidR="0011664F" w:rsidRDefault="0011664F">
      <w:pPr>
        <w:pStyle w:val="ListParagraph"/>
        <w:spacing w:line="360" w:lineRule="auto"/>
        <w:jc w:val="both"/>
        <w:rPr>
          <w:rFonts w:ascii="Times New Roman" w:hAnsi="Times New Roman" w:cs="Times New Roman"/>
          <w:sz w:val="24"/>
          <w:szCs w:val="24"/>
        </w:rPr>
      </w:pPr>
    </w:p>
    <w:p w14:paraId="6A2A2806" w14:textId="77777777" w:rsidR="0011664F" w:rsidRDefault="0011664F">
      <w:pPr>
        <w:spacing w:line="360" w:lineRule="auto"/>
        <w:jc w:val="both"/>
        <w:rPr>
          <w:rFonts w:ascii="Times New Roman" w:hAnsi="Times New Roman" w:cs="Times New Roman"/>
          <w:b/>
          <w:sz w:val="24"/>
          <w:szCs w:val="24"/>
        </w:rPr>
      </w:pPr>
    </w:p>
    <w:p w14:paraId="6E4E568D" w14:textId="77777777" w:rsidR="0011664F" w:rsidRDefault="0011664F">
      <w:pPr>
        <w:spacing w:line="360" w:lineRule="auto"/>
        <w:jc w:val="both"/>
        <w:rPr>
          <w:rFonts w:ascii="Times New Roman" w:hAnsi="Times New Roman" w:cs="Times New Roman"/>
          <w:b/>
          <w:sz w:val="24"/>
          <w:szCs w:val="24"/>
        </w:rPr>
      </w:pPr>
    </w:p>
    <w:p w14:paraId="228E0897" w14:textId="77777777" w:rsidR="0011664F" w:rsidRDefault="0011664F">
      <w:pPr>
        <w:spacing w:line="360" w:lineRule="auto"/>
        <w:jc w:val="both"/>
        <w:rPr>
          <w:rFonts w:ascii="Times New Roman" w:hAnsi="Times New Roman" w:cs="Times New Roman"/>
          <w:b/>
          <w:sz w:val="24"/>
          <w:szCs w:val="24"/>
        </w:rPr>
      </w:pPr>
    </w:p>
    <w:p w14:paraId="3DEC5309" w14:textId="77777777" w:rsidR="0011664F" w:rsidRDefault="0011664F" w:rsidP="00C64338">
      <w:pPr>
        <w:spacing w:line="360" w:lineRule="auto"/>
        <w:jc w:val="center"/>
        <w:rPr>
          <w:rFonts w:ascii="Times New Roman" w:hAnsi="Times New Roman" w:cs="Times New Roman"/>
          <w:sz w:val="24"/>
          <w:szCs w:val="24"/>
        </w:rPr>
      </w:pPr>
    </w:p>
    <w:p w14:paraId="0403A338" w14:textId="77586DA8" w:rsidR="0011664F" w:rsidRDefault="00C64338" w:rsidP="00C64338">
      <w:pPr>
        <w:spacing w:line="360" w:lineRule="auto"/>
        <w:jc w:val="center"/>
        <w:rPr>
          <w:rFonts w:ascii="Times New Roman" w:hAnsi="Times New Roman" w:cs="Times New Roman"/>
          <w:sz w:val="24"/>
          <w:szCs w:val="24"/>
        </w:rPr>
      </w:pPr>
      <w:r>
        <w:rPr>
          <w:rFonts w:ascii="Times New Roman" w:hAnsi="Times New Roman" w:cs="Times New Roman"/>
          <w:sz w:val="24"/>
          <w:szCs w:val="24"/>
        </w:rPr>
        <w:t>CHAPTER:4</w:t>
      </w:r>
    </w:p>
    <w:p w14:paraId="1A994BD3" w14:textId="77777777" w:rsidR="0011664F" w:rsidRDefault="0011664F">
      <w:pPr>
        <w:spacing w:line="360" w:lineRule="auto"/>
        <w:rPr>
          <w:rFonts w:ascii="Times New Roman" w:hAnsi="Times New Roman" w:cs="Times New Roman"/>
          <w:sz w:val="24"/>
          <w:szCs w:val="24"/>
        </w:rPr>
      </w:pPr>
    </w:p>
    <w:p w14:paraId="05FEA523" w14:textId="77777777" w:rsidR="0011664F" w:rsidRDefault="0011664F">
      <w:pPr>
        <w:spacing w:line="360" w:lineRule="auto"/>
        <w:jc w:val="both"/>
        <w:rPr>
          <w:rFonts w:ascii="Times New Roman" w:hAnsi="Times New Roman" w:cs="Times New Roman"/>
          <w:sz w:val="24"/>
          <w:szCs w:val="24"/>
        </w:rPr>
      </w:pPr>
    </w:p>
    <w:p w14:paraId="6BE94D97" w14:textId="77777777" w:rsidR="0011664F" w:rsidRDefault="0011664F">
      <w:pPr>
        <w:spacing w:line="360" w:lineRule="auto"/>
        <w:jc w:val="both"/>
        <w:rPr>
          <w:rFonts w:ascii="Times New Roman" w:hAnsi="Times New Roman" w:cs="Times New Roman"/>
          <w:b/>
          <w:bCs/>
          <w:sz w:val="24"/>
          <w:szCs w:val="24"/>
        </w:rPr>
      </w:pPr>
    </w:p>
    <w:p w14:paraId="70527F61" w14:textId="6DE02A2E" w:rsidR="0011664F" w:rsidRDefault="00000000">
      <w:pPr>
        <w:pStyle w:val="Heading2"/>
        <w:spacing w:line="360" w:lineRule="auto"/>
        <w:rPr>
          <w:rFonts w:ascii="Times New Roman" w:hAnsi="Times New Roman" w:cs="Times New Roman"/>
          <w:color w:val="000000" w:themeColor="text1"/>
          <w:sz w:val="24"/>
          <w:szCs w:val="24"/>
        </w:rPr>
      </w:pPr>
      <w:bookmarkStart w:id="13" w:name="_Toc175688689"/>
      <w:r>
        <w:rPr>
          <w:rFonts w:ascii="Times New Roman" w:hAnsi="Times New Roman" w:cs="Times New Roman"/>
          <w:color w:val="000000" w:themeColor="text1"/>
          <w:sz w:val="24"/>
          <w:szCs w:val="24"/>
        </w:rPr>
        <w:t>4.</w:t>
      </w:r>
      <w:r w:rsidR="00C64338">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Analysis of Total Investment and growth rate</w:t>
      </w:r>
      <w:bookmarkEnd w:id="13"/>
      <w:r>
        <w:rPr>
          <w:rFonts w:ascii="Times New Roman" w:hAnsi="Times New Roman" w:cs="Times New Roman"/>
          <w:color w:val="000000" w:themeColor="text1"/>
          <w:sz w:val="24"/>
          <w:szCs w:val="24"/>
        </w:rPr>
        <w:t xml:space="preserve"> of the last five year’s (2019-23)</w:t>
      </w:r>
      <w:r>
        <w:rPr>
          <w:rFonts w:ascii="Times New Roman" w:eastAsia="Times New Roman" w:hAnsi="Times New Roman" w:cs="Times New Roman"/>
          <w:color w:val="000000" w:themeColor="text1"/>
          <w:sz w:val="24"/>
          <w:szCs w:val="24"/>
          <w:lang w:eastAsia="en-GB"/>
        </w:rPr>
        <w:t>.</w:t>
      </w:r>
    </w:p>
    <w:p w14:paraId="27EDB13D" w14:textId="77777777" w:rsidR="0011664F" w:rsidRDefault="0011664F">
      <w:pPr>
        <w:spacing w:line="360" w:lineRule="auto"/>
        <w:jc w:val="both"/>
        <w:rPr>
          <w:rFonts w:ascii="Times New Roman" w:hAnsi="Times New Roman" w:cs="Times New Roman"/>
          <w:sz w:val="24"/>
          <w:szCs w:val="24"/>
        </w:rPr>
      </w:pPr>
    </w:p>
    <w:tbl>
      <w:tblPr>
        <w:tblW w:w="3940" w:type="dxa"/>
        <w:tblLook w:val="04A0" w:firstRow="1" w:lastRow="0" w:firstColumn="1" w:lastColumn="0" w:noHBand="0" w:noVBand="1"/>
      </w:tblPr>
      <w:tblGrid>
        <w:gridCol w:w="960"/>
        <w:gridCol w:w="1660"/>
        <w:gridCol w:w="1320"/>
      </w:tblGrid>
      <w:tr w:rsidR="0011664F" w14:paraId="63E1B5C5" w14:textId="7777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B53485"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Year</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16ACB779"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Total Investment</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7B0758AC"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Growth Rate</w:t>
            </w:r>
          </w:p>
        </w:tc>
      </w:tr>
      <w:tr w:rsidR="0011664F" w14:paraId="1895AF7A" w14:textId="7777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650726FF"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2019</w:t>
            </w:r>
          </w:p>
        </w:tc>
        <w:tc>
          <w:tcPr>
            <w:tcW w:w="1660" w:type="dxa"/>
            <w:tcBorders>
              <w:top w:val="nil"/>
              <w:left w:val="nil"/>
              <w:bottom w:val="single" w:sz="4" w:space="0" w:color="auto"/>
              <w:right w:val="single" w:sz="4" w:space="0" w:color="auto"/>
            </w:tcBorders>
            <w:shd w:val="clear" w:color="auto" w:fill="auto"/>
            <w:noWrap/>
            <w:vAlign w:val="bottom"/>
          </w:tcPr>
          <w:p w14:paraId="5E6FFC12"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264268.59</w:t>
            </w:r>
          </w:p>
        </w:tc>
        <w:tc>
          <w:tcPr>
            <w:tcW w:w="1320" w:type="dxa"/>
            <w:tcBorders>
              <w:top w:val="nil"/>
              <w:left w:val="nil"/>
              <w:bottom w:val="single" w:sz="4" w:space="0" w:color="auto"/>
              <w:right w:val="single" w:sz="4" w:space="0" w:color="auto"/>
            </w:tcBorders>
            <w:shd w:val="clear" w:color="auto" w:fill="auto"/>
            <w:noWrap/>
            <w:vAlign w:val="bottom"/>
          </w:tcPr>
          <w:p w14:paraId="09262CE9"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11%</w:t>
            </w:r>
          </w:p>
        </w:tc>
      </w:tr>
      <w:tr w:rsidR="0011664F" w14:paraId="7FE95F3E" w14:textId="7777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4179A413"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2020</w:t>
            </w:r>
          </w:p>
        </w:tc>
        <w:tc>
          <w:tcPr>
            <w:tcW w:w="1660" w:type="dxa"/>
            <w:tcBorders>
              <w:top w:val="nil"/>
              <w:left w:val="nil"/>
              <w:bottom w:val="single" w:sz="4" w:space="0" w:color="auto"/>
              <w:right w:val="single" w:sz="4" w:space="0" w:color="auto"/>
            </w:tcBorders>
            <w:shd w:val="clear" w:color="auto" w:fill="auto"/>
            <w:noWrap/>
            <w:vAlign w:val="bottom"/>
          </w:tcPr>
          <w:p w14:paraId="7298550D"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300617.94</w:t>
            </w:r>
          </w:p>
        </w:tc>
        <w:tc>
          <w:tcPr>
            <w:tcW w:w="1320" w:type="dxa"/>
            <w:tcBorders>
              <w:top w:val="nil"/>
              <w:left w:val="nil"/>
              <w:bottom w:val="single" w:sz="4" w:space="0" w:color="auto"/>
              <w:right w:val="single" w:sz="4" w:space="0" w:color="auto"/>
            </w:tcBorders>
            <w:shd w:val="clear" w:color="auto" w:fill="auto"/>
            <w:noWrap/>
            <w:vAlign w:val="bottom"/>
          </w:tcPr>
          <w:p w14:paraId="5903BFFE"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13.75%</w:t>
            </w:r>
          </w:p>
        </w:tc>
      </w:tr>
      <w:tr w:rsidR="0011664F" w14:paraId="19FE85AC" w14:textId="7777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6F7C3E9"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2021</w:t>
            </w:r>
          </w:p>
        </w:tc>
        <w:tc>
          <w:tcPr>
            <w:tcW w:w="1660" w:type="dxa"/>
            <w:tcBorders>
              <w:top w:val="nil"/>
              <w:left w:val="nil"/>
              <w:bottom w:val="single" w:sz="4" w:space="0" w:color="auto"/>
              <w:right w:val="single" w:sz="4" w:space="0" w:color="auto"/>
            </w:tcBorders>
            <w:shd w:val="clear" w:color="auto" w:fill="auto"/>
            <w:noWrap/>
            <w:vAlign w:val="bottom"/>
          </w:tcPr>
          <w:p w14:paraId="5A239B2F"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312773.82</w:t>
            </w:r>
          </w:p>
        </w:tc>
        <w:tc>
          <w:tcPr>
            <w:tcW w:w="1320" w:type="dxa"/>
            <w:tcBorders>
              <w:top w:val="nil"/>
              <w:left w:val="nil"/>
              <w:bottom w:val="single" w:sz="4" w:space="0" w:color="auto"/>
              <w:right w:val="single" w:sz="4" w:space="0" w:color="auto"/>
            </w:tcBorders>
            <w:shd w:val="clear" w:color="auto" w:fill="auto"/>
            <w:noWrap/>
            <w:vAlign w:val="bottom"/>
          </w:tcPr>
          <w:p w14:paraId="2305363D"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4.04%</w:t>
            </w:r>
          </w:p>
        </w:tc>
      </w:tr>
      <w:tr w:rsidR="0011664F" w14:paraId="12BAF6BD" w14:textId="7777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45AE436"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2022</w:t>
            </w:r>
          </w:p>
        </w:tc>
        <w:tc>
          <w:tcPr>
            <w:tcW w:w="1660" w:type="dxa"/>
            <w:tcBorders>
              <w:top w:val="nil"/>
              <w:left w:val="nil"/>
              <w:bottom w:val="single" w:sz="4" w:space="0" w:color="auto"/>
              <w:right w:val="single" w:sz="4" w:space="0" w:color="auto"/>
            </w:tcBorders>
            <w:shd w:val="clear" w:color="auto" w:fill="auto"/>
            <w:noWrap/>
            <w:vAlign w:val="bottom"/>
          </w:tcPr>
          <w:p w14:paraId="3DF1C575"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342944.15</w:t>
            </w:r>
          </w:p>
        </w:tc>
        <w:tc>
          <w:tcPr>
            <w:tcW w:w="1320" w:type="dxa"/>
            <w:tcBorders>
              <w:top w:val="nil"/>
              <w:left w:val="nil"/>
              <w:bottom w:val="single" w:sz="4" w:space="0" w:color="auto"/>
              <w:right w:val="single" w:sz="4" w:space="0" w:color="auto"/>
            </w:tcBorders>
            <w:shd w:val="clear" w:color="auto" w:fill="auto"/>
            <w:noWrap/>
            <w:vAlign w:val="bottom"/>
          </w:tcPr>
          <w:p w14:paraId="7F30EB2C"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9.65%</w:t>
            </w:r>
          </w:p>
        </w:tc>
      </w:tr>
      <w:tr w:rsidR="0011664F" w14:paraId="7DF3B0DF" w14:textId="77777777">
        <w:trPr>
          <w:trHeight w:val="300"/>
        </w:trPr>
        <w:tc>
          <w:tcPr>
            <w:tcW w:w="960" w:type="dxa"/>
            <w:tcBorders>
              <w:top w:val="nil"/>
              <w:left w:val="single" w:sz="4" w:space="0" w:color="auto"/>
              <w:bottom w:val="nil"/>
              <w:right w:val="single" w:sz="4" w:space="0" w:color="auto"/>
            </w:tcBorders>
            <w:shd w:val="clear" w:color="auto" w:fill="auto"/>
            <w:noWrap/>
            <w:vAlign w:val="bottom"/>
          </w:tcPr>
          <w:p w14:paraId="29987EF6"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2023</w:t>
            </w:r>
          </w:p>
        </w:tc>
        <w:tc>
          <w:tcPr>
            <w:tcW w:w="1660" w:type="dxa"/>
            <w:tcBorders>
              <w:top w:val="nil"/>
              <w:left w:val="nil"/>
              <w:bottom w:val="nil"/>
              <w:right w:val="single" w:sz="4" w:space="0" w:color="auto"/>
            </w:tcBorders>
            <w:shd w:val="clear" w:color="auto" w:fill="auto"/>
            <w:noWrap/>
            <w:vAlign w:val="bottom"/>
          </w:tcPr>
          <w:p w14:paraId="5A4B7616"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360816.97</w:t>
            </w:r>
          </w:p>
        </w:tc>
        <w:tc>
          <w:tcPr>
            <w:tcW w:w="1320" w:type="dxa"/>
            <w:tcBorders>
              <w:top w:val="nil"/>
              <w:left w:val="nil"/>
              <w:bottom w:val="nil"/>
              <w:right w:val="single" w:sz="4" w:space="0" w:color="auto"/>
            </w:tcBorders>
            <w:shd w:val="clear" w:color="auto" w:fill="auto"/>
            <w:noWrap/>
            <w:vAlign w:val="bottom"/>
          </w:tcPr>
          <w:p w14:paraId="1BFE1837"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5.21%</w:t>
            </w:r>
          </w:p>
        </w:tc>
      </w:tr>
      <w:tr w:rsidR="0011664F" w14:paraId="5D096DA3" w14:textId="7777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8D55260" w14:textId="77777777" w:rsidR="0011664F" w:rsidRDefault="0011664F">
            <w:pPr>
              <w:spacing w:after="0" w:line="360" w:lineRule="auto"/>
              <w:jc w:val="both"/>
              <w:rPr>
                <w:rFonts w:ascii="Times New Roman" w:eastAsia="Times New Roman" w:hAnsi="Times New Roman" w:cs="Times New Roman"/>
                <w:color w:val="000000"/>
                <w:sz w:val="24"/>
                <w:szCs w:val="24"/>
                <w:lang w:eastAsia="en-GB"/>
              </w:rPr>
            </w:pPr>
          </w:p>
        </w:tc>
        <w:tc>
          <w:tcPr>
            <w:tcW w:w="1660" w:type="dxa"/>
            <w:tcBorders>
              <w:top w:val="nil"/>
              <w:left w:val="nil"/>
              <w:bottom w:val="single" w:sz="4" w:space="0" w:color="auto"/>
              <w:right w:val="single" w:sz="4" w:space="0" w:color="auto"/>
            </w:tcBorders>
            <w:shd w:val="clear" w:color="auto" w:fill="auto"/>
            <w:noWrap/>
            <w:vAlign w:val="bottom"/>
          </w:tcPr>
          <w:p w14:paraId="7AC5EDFC" w14:textId="77777777" w:rsidR="0011664F" w:rsidRDefault="0011664F">
            <w:pPr>
              <w:spacing w:after="0" w:line="360" w:lineRule="auto"/>
              <w:jc w:val="both"/>
              <w:rPr>
                <w:rFonts w:ascii="Times New Roman" w:eastAsia="Times New Roman" w:hAnsi="Times New Roman" w:cs="Times New Roman"/>
                <w:color w:val="000000"/>
                <w:sz w:val="24"/>
                <w:szCs w:val="24"/>
                <w:lang w:eastAsia="en-GB"/>
              </w:rPr>
            </w:pPr>
          </w:p>
        </w:tc>
        <w:tc>
          <w:tcPr>
            <w:tcW w:w="1320" w:type="dxa"/>
            <w:tcBorders>
              <w:top w:val="nil"/>
              <w:left w:val="nil"/>
              <w:bottom w:val="single" w:sz="4" w:space="0" w:color="auto"/>
              <w:right w:val="single" w:sz="4" w:space="0" w:color="auto"/>
            </w:tcBorders>
            <w:shd w:val="clear" w:color="auto" w:fill="auto"/>
            <w:noWrap/>
            <w:vAlign w:val="bottom"/>
          </w:tcPr>
          <w:p w14:paraId="1647D6D5" w14:textId="77777777" w:rsidR="0011664F" w:rsidRDefault="0011664F">
            <w:pPr>
              <w:spacing w:after="0" w:line="360" w:lineRule="auto"/>
              <w:jc w:val="both"/>
              <w:rPr>
                <w:rFonts w:ascii="Times New Roman" w:eastAsia="Times New Roman" w:hAnsi="Times New Roman" w:cs="Times New Roman"/>
                <w:color w:val="000000"/>
                <w:sz w:val="24"/>
                <w:szCs w:val="24"/>
                <w:lang w:eastAsia="en-GB"/>
              </w:rPr>
            </w:pPr>
          </w:p>
        </w:tc>
      </w:tr>
    </w:tbl>
    <w:p w14:paraId="4DBFF243" w14:textId="77777777" w:rsidR="0011664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Source: Annual Financial Statement (2019-2023)</w:t>
      </w:r>
    </w:p>
    <w:p w14:paraId="57BDCB55" w14:textId="77777777" w:rsidR="0011664F" w:rsidRDefault="0011664F">
      <w:pPr>
        <w:spacing w:line="360" w:lineRule="auto"/>
        <w:jc w:val="both"/>
        <w:rPr>
          <w:rFonts w:ascii="Times New Roman" w:eastAsia="Times New Roman" w:hAnsi="Times New Roman" w:cs="Times New Roman"/>
          <w:color w:val="222222"/>
          <w:sz w:val="24"/>
          <w:szCs w:val="24"/>
          <w:lang w:eastAsia="en-GB"/>
        </w:rPr>
      </w:pPr>
    </w:p>
    <w:p w14:paraId="272E514D" w14:textId="77777777" w:rsidR="0011664F" w:rsidRDefault="00000000">
      <w:pPr>
        <w:spacing w:line="360" w:lineRule="auto"/>
        <w:jc w:val="both"/>
        <w:rPr>
          <w:rFonts w:ascii="Times New Roman" w:eastAsia="Times New Roman" w:hAnsi="Times New Roman" w:cs="Times New Roman"/>
          <w:color w:val="222222"/>
          <w:sz w:val="24"/>
          <w:szCs w:val="24"/>
          <w:lang w:eastAsia="en-GB"/>
        </w:rPr>
      </w:pPr>
      <w:r>
        <w:rPr>
          <w:rFonts w:ascii="Times New Roman" w:hAnsi="Times New Roman" w:cs="Times New Roman"/>
          <w:noProof/>
          <w:sz w:val="24"/>
          <w:szCs w:val="24"/>
          <w:lang w:val="en-US"/>
        </w:rPr>
        <w:lastRenderedPageBreak/>
        <w:drawing>
          <wp:anchor distT="0" distB="0" distL="114300" distR="114300" simplePos="0" relativeHeight="251662336" behindDoc="1" locked="0" layoutInCell="1" allowOverlap="1" wp14:anchorId="76DD6992" wp14:editId="2727F20D">
            <wp:simplePos x="0" y="0"/>
            <wp:positionH relativeFrom="column">
              <wp:posOffset>0</wp:posOffset>
            </wp:positionH>
            <wp:positionV relativeFrom="paragraph">
              <wp:posOffset>2540</wp:posOffset>
            </wp:positionV>
            <wp:extent cx="4572000" cy="2743200"/>
            <wp:effectExtent l="0" t="0" r="0" b="0"/>
            <wp:wrapTopAndBottom/>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6F1AD26" w14:textId="77777777" w:rsidR="0011664F" w:rsidRDefault="00000000">
      <w:pPr>
        <w:spacing w:line="360" w:lineRule="auto"/>
        <w:jc w:val="both"/>
        <w:rPr>
          <w:rFonts w:ascii="Times New Roman" w:hAnsi="Times New Roman" w:cs="Times New Roman"/>
          <w:sz w:val="24"/>
          <w:szCs w:val="24"/>
        </w:rPr>
      </w:pPr>
      <w:r>
        <w:rPr>
          <w:rFonts w:ascii="Times New Roman" w:eastAsia="Times New Roman" w:hAnsi="Times New Roman" w:cs="Times New Roman"/>
          <w:color w:val="222222"/>
          <w:sz w:val="24"/>
          <w:szCs w:val="24"/>
          <w:lang w:eastAsia="en-GB"/>
        </w:rPr>
        <w:t>The figures indicate that the investment amount Tk.</w:t>
      </w:r>
      <w:r>
        <w:rPr>
          <w:rFonts w:ascii="Times New Roman" w:eastAsia="Times New Roman" w:hAnsi="Times New Roman" w:cs="Times New Roman"/>
          <w:color w:val="000000"/>
          <w:sz w:val="24"/>
          <w:szCs w:val="24"/>
          <w:lang w:eastAsia="en-GB"/>
        </w:rPr>
        <w:t xml:space="preserve"> 264268.59</w:t>
      </w:r>
      <w:r>
        <w:rPr>
          <w:rFonts w:ascii="Times New Roman" w:eastAsia="Times New Roman" w:hAnsi="Times New Roman" w:cs="Times New Roman"/>
          <w:color w:val="222222"/>
          <w:sz w:val="24"/>
          <w:szCs w:val="24"/>
          <w:lang w:eastAsia="en-GB"/>
        </w:rPr>
        <w:t xml:space="preserve"> million in 2019 to Tk. </w:t>
      </w:r>
      <w:r>
        <w:rPr>
          <w:rFonts w:ascii="Times New Roman" w:eastAsia="Times New Roman" w:hAnsi="Times New Roman" w:cs="Times New Roman"/>
          <w:color w:val="000000"/>
          <w:sz w:val="24"/>
          <w:szCs w:val="24"/>
          <w:lang w:eastAsia="en-GB"/>
        </w:rPr>
        <w:t xml:space="preserve">300617.94 </w:t>
      </w:r>
      <w:r>
        <w:rPr>
          <w:rFonts w:ascii="Times New Roman" w:eastAsia="Times New Roman" w:hAnsi="Times New Roman" w:cs="Times New Roman"/>
          <w:color w:val="222222"/>
          <w:sz w:val="24"/>
          <w:szCs w:val="24"/>
          <w:lang w:eastAsia="en-GB"/>
        </w:rPr>
        <w:t xml:space="preserve">million in 2020, reflecting an almost 2.75% growth rate. Investment continued to grow, reaching Tk. </w:t>
      </w:r>
      <w:r>
        <w:rPr>
          <w:rFonts w:ascii="Times New Roman" w:eastAsia="Times New Roman" w:hAnsi="Times New Roman" w:cs="Times New Roman"/>
          <w:color w:val="000000"/>
          <w:sz w:val="24"/>
          <w:szCs w:val="24"/>
          <w:lang w:eastAsia="en-GB"/>
        </w:rPr>
        <w:t>312773.82</w:t>
      </w:r>
      <w:r>
        <w:rPr>
          <w:rFonts w:ascii="Times New Roman" w:eastAsia="Times New Roman" w:hAnsi="Times New Roman" w:cs="Times New Roman"/>
          <w:color w:val="222222"/>
          <w:sz w:val="24"/>
          <w:szCs w:val="24"/>
          <w:lang w:eastAsia="en-GB"/>
        </w:rPr>
        <w:t xml:space="preserve"> million in 2021 and Tk.</w:t>
      </w:r>
      <w:r>
        <w:rPr>
          <w:rFonts w:ascii="Times New Roman" w:eastAsia="Times New Roman" w:hAnsi="Times New Roman" w:cs="Times New Roman"/>
          <w:color w:val="000000"/>
          <w:sz w:val="24"/>
          <w:szCs w:val="24"/>
          <w:lang w:eastAsia="en-GB"/>
        </w:rPr>
        <w:t xml:space="preserve"> 342944.15</w:t>
      </w:r>
      <w:r>
        <w:rPr>
          <w:rFonts w:ascii="Times New Roman" w:eastAsia="Times New Roman" w:hAnsi="Times New Roman" w:cs="Times New Roman"/>
          <w:color w:val="222222"/>
          <w:sz w:val="24"/>
          <w:szCs w:val="24"/>
          <w:lang w:eastAsia="en-GB"/>
        </w:rPr>
        <w:t xml:space="preserve"> million in 2022, but the growth rate declined by 9.71%. In 2022, the investment amount further increased to Tk.</w:t>
      </w:r>
      <w:r>
        <w:rPr>
          <w:rFonts w:ascii="Times New Roman" w:eastAsia="Times New Roman" w:hAnsi="Times New Roman" w:cs="Times New Roman"/>
          <w:color w:val="000000"/>
          <w:sz w:val="24"/>
          <w:szCs w:val="24"/>
          <w:lang w:eastAsia="en-GB"/>
        </w:rPr>
        <w:t xml:space="preserve"> 342944.15</w:t>
      </w:r>
      <w:r>
        <w:rPr>
          <w:rFonts w:ascii="Times New Roman" w:eastAsia="Times New Roman" w:hAnsi="Times New Roman" w:cs="Times New Roman"/>
          <w:color w:val="222222"/>
          <w:sz w:val="24"/>
          <w:szCs w:val="24"/>
          <w:lang w:eastAsia="en-GB"/>
        </w:rPr>
        <w:t xml:space="preserve"> million. Again in 2023 Investment amount decrease 4.44%.</w:t>
      </w:r>
    </w:p>
    <w:p w14:paraId="708C4ACA" w14:textId="77777777" w:rsidR="0011664F" w:rsidRDefault="00000000">
      <w:pPr>
        <w:pStyle w:val="Heading2"/>
        <w:spacing w:line="360" w:lineRule="auto"/>
        <w:rPr>
          <w:rFonts w:ascii="Times New Roman" w:hAnsi="Times New Roman" w:cs="Times New Roman"/>
          <w:color w:val="000000" w:themeColor="text1"/>
          <w:sz w:val="24"/>
          <w:szCs w:val="24"/>
        </w:rPr>
      </w:pPr>
      <w:bookmarkStart w:id="14" w:name="_Toc175688690"/>
      <w:r>
        <w:rPr>
          <w:rFonts w:ascii="Times New Roman" w:eastAsia="Times New Roman" w:hAnsi="Times New Roman" w:cs="Times New Roman"/>
          <w:color w:val="000000" w:themeColor="text1"/>
          <w:sz w:val="24"/>
          <w:szCs w:val="24"/>
          <w:lang w:eastAsia="en-GB"/>
        </w:rPr>
        <w:t>4.2.3Analysis of total Deposit and growth rate</w:t>
      </w:r>
      <w:r>
        <w:rPr>
          <w:rFonts w:ascii="Times New Roman" w:hAnsi="Times New Roman" w:cs="Times New Roman"/>
          <w:color w:val="000000" w:themeColor="text1"/>
          <w:sz w:val="24"/>
          <w:szCs w:val="24"/>
        </w:rPr>
        <w:t xml:space="preserve"> of the last five year’s (2019-23)</w:t>
      </w:r>
      <w:r>
        <w:rPr>
          <w:rFonts w:ascii="Times New Roman" w:eastAsia="Times New Roman" w:hAnsi="Times New Roman" w:cs="Times New Roman"/>
          <w:color w:val="000000" w:themeColor="text1"/>
          <w:sz w:val="24"/>
          <w:szCs w:val="24"/>
          <w:lang w:eastAsia="en-GB"/>
        </w:rPr>
        <w:t>.</w:t>
      </w:r>
      <w:bookmarkEnd w:id="14"/>
    </w:p>
    <w:p w14:paraId="511E2C3B" w14:textId="77777777" w:rsidR="0011664F" w:rsidRDefault="0011664F">
      <w:pPr>
        <w:spacing w:line="360" w:lineRule="auto"/>
        <w:jc w:val="both"/>
        <w:rPr>
          <w:rFonts w:ascii="Times New Roman" w:hAnsi="Times New Roman" w:cs="Times New Roman"/>
          <w:b/>
          <w:bCs/>
          <w:color w:val="000000" w:themeColor="text1"/>
          <w:sz w:val="24"/>
          <w:szCs w:val="24"/>
        </w:rPr>
      </w:pPr>
    </w:p>
    <w:tbl>
      <w:tblPr>
        <w:tblW w:w="3640" w:type="dxa"/>
        <w:tblLook w:val="04A0" w:firstRow="1" w:lastRow="0" w:firstColumn="1" w:lastColumn="0" w:noHBand="0" w:noVBand="1"/>
      </w:tblPr>
      <w:tblGrid>
        <w:gridCol w:w="960"/>
        <w:gridCol w:w="1340"/>
        <w:gridCol w:w="1340"/>
      </w:tblGrid>
      <w:tr w:rsidR="0011664F" w14:paraId="67E07350" w14:textId="7777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93AF39"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Years</w:t>
            </w:r>
          </w:p>
        </w:tc>
        <w:tc>
          <w:tcPr>
            <w:tcW w:w="1340" w:type="dxa"/>
            <w:tcBorders>
              <w:top w:val="single" w:sz="4" w:space="0" w:color="auto"/>
              <w:left w:val="nil"/>
              <w:bottom w:val="single" w:sz="4" w:space="0" w:color="auto"/>
              <w:right w:val="single" w:sz="4" w:space="0" w:color="auto"/>
            </w:tcBorders>
            <w:shd w:val="clear" w:color="auto" w:fill="auto"/>
            <w:noWrap/>
            <w:vAlign w:val="bottom"/>
          </w:tcPr>
          <w:p w14:paraId="75B5E4BC"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Total Deposit</w:t>
            </w:r>
          </w:p>
        </w:tc>
        <w:tc>
          <w:tcPr>
            <w:tcW w:w="1340" w:type="dxa"/>
            <w:tcBorders>
              <w:top w:val="single" w:sz="4" w:space="0" w:color="auto"/>
              <w:left w:val="nil"/>
              <w:bottom w:val="single" w:sz="4" w:space="0" w:color="auto"/>
              <w:right w:val="single" w:sz="4" w:space="0" w:color="auto"/>
            </w:tcBorders>
            <w:shd w:val="clear" w:color="auto" w:fill="auto"/>
            <w:noWrap/>
            <w:vAlign w:val="bottom"/>
          </w:tcPr>
          <w:p w14:paraId="5E1507FE"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Growth Rate (%)</w:t>
            </w:r>
          </w:p>
        </w:tc>
      </w:tr>
      <w:tr w:rsidR="0011664F" w14:paraId="08BE6585" w14:textId="7777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8B4AE50"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2019</w:t>
            </w:r>
          </w:p>
        </w:tc>
        <w:tc>
          <w:tcPr>
            <w:tcW w:w="1340" w:type="dxa"/>
            <w:tcBorders>
              <w:top w:val="nil"/>
              <w:left w:val="nil"/>
              <w:bottom w:val="single" w:sz="4" w:space="0" w:color="auto"/>
              <w:right w:val="single" w:sz="4" w:space="0" w:color="auto"/>
            </w:tcBorders>
            <w:shd w:val="clear" w:color="auto" w:fill="auto"/>
            <w:noWrap/>
            <w:vAlign w:val="bottom"/>
          </w:tcPr>
          <w:p w14:paraId="368FFC45"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287936.65</w:t>
            </w:r>
          </w:p>
        </w:tc>
        <w:tc>
          <w:tcPr>
            <w:tcW w:w="1340" w:type="dxa"/>
            <w:tcBorders>
              <w:top w:val="nil"/>
              <w:left w:val="nil"/>
              <w:bottom w:val="single" w:sz="4" w:space="0" w:color="auto"/>
              <w:right w:val="single" w:sz="4" w:space="0" w:color="auto"/>
            </w:tcBorders>
            <w:shd w:val="clear" w:color="auto" w:fill="auto"/>
            <w:noWrap/>
            <w:vAlign w:val="bottom"/>
          </w:tcPr>
          <w:p w14:paraId="4CCDA84D"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16%</w:t>
            </w:r>
          </w:p>
        </w:tc>
      </w:tr>
      <w:tr w:rsidR="0011664F" w14:paraId="16645884" w14:textId="7777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B49671A"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2020</w:t>
            </w:r>
          </w:p>
        </w:tc>
        <w:tc>
          <w:tcPr>
            <w:tcW w:w="1340" w:type="dxa"/>
            <w:tcBorders>
              <w:top w:val="nil"/>
              <w:left w:val="nil"/>
              <w:bottom w:val="single" w:sz="4" w:space="0" w:color="auto"/>
              <w:right w:val="single" w:sz="4" w:space="0" w:color="auto"/>
            </w:tcBorders>
            <w:shd w:val="clear" w:color="auto" w:fill="auto"/>
            <w:noWrap/>
            <w:vAlign w:val="bottom"/>
          </w:tcPr>
          <w:p w14:paraId="1A050460"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322383.51</w:t>
            </w:r>
          </w:p>
        </w:tc>
        <w:tc>
          <w:tcPr>
            <w:tcW w:w="1340" w:type="dxa"/>
            <w:tcBorders>
              <w:top w:val="nil"/>
              <w:left w:val="nil"/>
              <w:bottom w:val="single" w:sz="4" w:space="0" w:color="auto"/>
              <w:right w:val="single" w:sz="4" w:space="0" w:color="auto"/>
            </w:tcBorders>
            <w:shd w:val="clear" w:color="auto" w:fill="auto"/>
            <w:noWrap/>
            <w:vAlign w:val="bottom"/>
          </w:tcPr>
          <w:p w14:paraId="4D8585A1"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11.96%</w:t>
            </w:r>
          </w:p>
        </w:tc>
      </w:tr>
      <w:tr w:rsidR="0011664F" w14:paraId="4598AB38" w14:textId="7777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2A4906E"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2021</w:t>
            </w:r>
          </w:p>
        </w:tc>
        <w:tc>
          <w:tcPr>
            <w:tcW w:w="1340" w:type="dxa"/>
            <w:tcBorders>
              <w:top w:val="nil"/>
              <w:left w:val="nil"/>
              <w:bottom w:val="single" w:sz="4" w:space="0" w:color="auto"/>
              <w:right w:val="single" w:sz="4" w:space="0" w:color="auto"/>
            </w:tcBorders>
            <w:shd w:val="clear" w:color="auto" w:fill="auto"/>
            <w:noWrap/>
            <w:vAlign w:val="bottom"/>
          </w:tcPr>
          <w:p w14:paraId="1E458296"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341661.06</w:t>
            </w:r>
          </w:p>
        </w:tc>
        <w:tc>
          <w:tcPr>
            <w:tcW w:w="1340" w:type="dxa"/>
            <w:tcBorders>
              <w:top w:val="nil"/>
              <w:left w:val="nil"/>
              <w:bottom w:val="single" w:sz="4" w:space="0" w:color="auto"/>
              <w:right w:val="single" w:sz="4" w:space="0" w:color="auto"/>
            </w:tcBorders>
            <w:shd w:val="clear" w:color="auto" w:fill="auto"/>
            <w:noWrap/>
            <w:vAlign w:val="bottom"/>
          </w:tcPr>
          <w:p w14:paraId="6BAF77ED"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5.98%</w:t>
            </w:r>
          </w:p>
        </w:tc>
      </w:tr>
      <w:tr w:rsidR="0011664F" w14:paraId="420B50E0" w14:textId="7777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CED6162"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2022</w:t>
            </w:r>
          </w:p>
        </w:tc>
        <w:tc>
          <w:tcPr>
            <w:tcW w:w="1340" w:type="dxa"/>
            <w:tcBorders>
              <w:top w:val="nil"/>
              <w:left w:val="nil"/>
              <w:bottom w:val="single" w:sz="4" w:space="0" w:color="auto"/>
              <w:right w:val="single" w:sz="4" w:space="0" w:color="auto"/>
            </w:tcBorders>
            <w:shd w:val="clear" w:color="auto" w:fill="auto"/>
            <w:noWrap/>
            <w:vAlign w:val="bottom"/>
          </w:tcPr>
          <w:p w14:paraId="09BD9E82"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340950.31</w:t>
            </w:r>
          </w:p>
        </w:tc>
        <w:tc>
          <w:tcPr>
            <w:tcW w:w="1340" w:type="dxa"/>
            <w:tcBorders>
              <w:top w:val="nil"/>
              <w:left w:val="nil"/>
              <w:bottom w:val="single" w:sz="4" w:space="0" w:color="auto"/>
              <w:right w:val="single" w:sz="4" w:space="0" w:color="auto"/>
            </w:tcBorders>
            <w:shd w:val="clear" w:color="auto" w:fill="auto"/>
            <w:noWrap/>
            <w:vAlign w:val="bottom"/>
          </w:tcPr>
          <w:p w14:paraId="4A7693A7"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-20.8%</w:t>
            </w:r>
          </w:p>
        </w:tc>
      </w:tr>
      <w:tr w:rsidR="0011664F" w14:paraId="331826F5" w14:textId="7777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472A67BC"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2023</w:t>
            </w:r>
          </w:p>
        </w:tc>
        <w:tc>
          <w:tcPr>
            <w:tcW w:w="1340" w:type="dxa"/>
            <w:tcBorders>
              <w:top w:val="nil"/>
              <w:left w:val="nil"/>
              <w:bottom w:val="single" w:sz="4" w:space="0" w:color="auto"/>
              <w:right w:val="single" w:sz="4" w:space="0" w:color="auto"/>
            </w:tcBorders>
            <w:shd w:val="clear" w:color="auto" w:fill="auto"/>
            <w:noWrap/>
            <w:vAlign w:val="bottom"/>
          </w:tcPr>
          <w:p w14:paraId="40DA6047"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357388.84</w:t>
            </w:r>
          </w:p>
        </w:tc>
        <w:tc>
          <w:tcPr>
            <w:tcW w:w="1340" w:type="dxa"/>
            <w:tcBorders>
              <w:top w:val="nil"/>
              <w:left w:val="nil"/>
              <w:bottom w:val="single" w:sz="4" w:space="0" w:color="auto"/>
              <w:right w:val="single" w:sz="4" w:space="0" w:color="auto"/>
            </w:tcBorders>
            <w:shd w:val="clear" w:color="auto" w:fill="auto"/>
            <w:noWrap/>
            <w:vAlign w:val="bottom"/>
          </w:tcPr>
          <w:p w14:paraId="14AC5A7D"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4.82%</w:t>
            </w:r>
          </w:p>
        </w:tc>
      </w:tr>
    </w:tbl>
    <w:p w14:paraId="409B4BA9" w14:textId="77777777" w:rsidR="0011664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Source: Annual Financial Statement (2019-2023)</w:t>
      </w:r>
    </w:p>
    <w:p w14:paraId="20B27740" w14:textId="77777777" w:rsidR="0011664F" w:rsidRDefault="0011664F">
      <w:pPr>
        <w:spacing w:line="360" w:lineRule="auto"/>
        <w:jc w:val="both"/>
        <w:rPr>
          <w:rFonts w:ascii="Times New Roman" w:hAnsi="Times New Roman" w:cs="Times New Roman"/>
          <w:sz w:val="24"/>
          <w:szCs w:val="24"/>
        </w:rPr>
      </w:pPr>
    </w:p>
    <w:p w14:paraId="79959874"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427D9D16" wp14:editId="68002FF4">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06A1E8"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222222"/>
          <w:sz w:val="24"/>
          <w:szCs w:val="24"/>
          <w:lang w:eastAsia="en-GB"/>
        </w:rPr>
        <w:t>The graphs above highlight that deposits have consistently increased over the years, driven by the expansion of new branches and a growing customer base. However, there have been fluctuations in the deposit growth rate. The highest growth, at 11.96%, was achieved in 2020 with deposits reaching Tk.</w:t>
      </w:r>
      <w:r>
        <w:rPr>
          <w:rFonts w:ascii="Times New Roman" w:eastAsia="Times New Roman" w:hAnsi="Times New Roman" w:cs="Times New Roman"/>
          <w:color w:val="000000"/>
          <w:sz w:val="24"/>
          <w:szCs w:val="24"/>
          <w:lang w:eastAsia="en-GB"/>
        </w:rPr>
        <w:t xml:space="preserve"> 322383.51</w:t>
      </w:r>
      <w:r>
        <w:rPr>
          <w:rFonts w:ascii="Times New Roman" w:eastAsia="Times New Roman" w:hAnsi="Times New Roman" w:cs="Times New Roman"/>
          <w:color w:val="222222"/>
          <w:sz w:val="24"/>
          <w:szCs w:val="24"/>
          <w:lang w:eastAsia="en-GB"/>
        </w:rPr>
        <w:t xml:space="preserve"> million. Conversely, the lowest growth rate, at -20.8%, occurred in 2022 when deposits totalled Tk.</w:t>
      </w:r>
      <w:r>
        <w:rPr>
          <w:rFonts w:ascii="Times New Roman" w:eastAsia="Times New Roman" w:hAnsi="Times New Roman" w:cs="Times New Roman"/>
          <w:color w:val="000000"/>
          <w:sz w:val="24"/>
          <w:szCs w:val="24"/>
          <w:lang w:eastAsia="en-GB"/>
        </w:rPr>
        <w:t xml:space="preserve"> 340950.31</w:t>
      </w:r>
      <w:r>
        <w:rPr>
          <w:rFonts w:ascii="Times New Roman" w:eastAsia="Times New Roman" w:hAnsi="Times New Roman" w:cs="Times New Roman"/>
          <w:color w:val="222222"/>
          <w:sz w:val="24"/>
          <w:szCs w:val="24"/>
          <w:lang w:eastAsia="en-GB"/>
        </w:rPr>
        <w:t xml:space="preserve"> million. On a positive note, deposit growth rebounded in 2023, showing a healthy increase of 4.82%.</w:t>
      </w:r>
    </w:p>
    <w:p w14:paraId="487E4694" w14:textId="77777777" w:rsidR="0011664F" w:rsidRDefault="0011664F">
      <w:pPr>
        <w:spacing w:line="360" w:lineRule="auto"/>
        <w:jc w:val="both"/>
        <w:rPr>
          <w:rFonts w:ascii="Times New Roman" w:hAnsi="Times New Roman" w:cs="Times New Roman"/>
          <w:sz w:val="24"/>
          <w:szCs w:val="24"/>
        </w:rPr>
      </w:pPr>
    </w:p>
    <w:p w14:paraId="2F667B00" w14:textId="77777777" w:rsidR="0011664F" w:rsidRDefault="0011664F">
      <w:pPr>
        <w:spacing w:line="360" w:lineRule="auto"/>
        <w:jc w:val="both"/>
        <w:rPr>
          <w:rFonts w:ascii="Times New Roman" w:hAnsi="Times New Roman" w:cs="Times New Roman"/>
          <w:sz w:val="24"/>
          <w:szCs w:val="24"/>
        </w:rPr>
      </w:pPr>
    </w:p>
    <w:p w14:paraId="098983AC" w14:textId="2C69D5C9" w:rsidR="0011664F" w:rsidRDefault="00000000">
      <w:pPr>
        <w:pStyle w:val="Heading2"/>
        <w:spacing w:line="360" w:lineRule="auto"/>
        <w:rPr>
          <w:rFonts w:ascii="Times New Roman" w:hAnsi="Times New Roman" w:cs="Times New Roman"/>
          <w:color w:val="000000" w:themeColor="text1"/>
          <w:sz w:val="24"/>
          <w:szCs w:val="24"/>
        </w:rPr>
      </w:pPr>
      <w:bookmarkStart w:id="15" w:name="_Toc175688691"/>
      <w:r>
        <w:rPr>
          <w:rFonts w:ascii="Times New Roman" w:hAnsi="Times New Roman" w:cs="Times New Roman"/>
          <w:color w:val="000000" w:themeColor="text1"/>
          <w:sz w:val="24"/>
          <w:szCs w:val="24"/>
        </w:rPr>
        <w:t>4.2</w:t>
      </w:r>
      <w:r w:rsidR="00C64338">
        <w:rPr>
          <w:rFonts w:ascii="Times New Roman" w:hAnsi="Times New Roman" w:cs="Times New Roman"/>
          <w:color w:val="000000" w:themeColor="text1"/>
          <w:sz w:val="24"/>
          <w:szCs w:val="24"/>
        </w:rPr>
        <w:t xml:space="preserve"> I</w:t>
      </w:r>
      <w:r>
        <w:rPr>
          <w:rFonts w:ascii="Times New Roman" w:hAnsi="Times New Roman" w:cs="Times New Roman"/>
          <w:color w:val="000000" w:themeColor="text1"/>
          <w:sz w:val="24"/>
          <w:szCs w:val="24"/>
        </w:rPr>
        <w:t>nvestment-deposit ratio of the last five year’s (2019-23)</w:t>
      </w:r>
      <w:bookmarkEnd w:id="15"/>
    </w:p>
    <w:p w14:paraId="7B8D1AB3" w14:textId="77777777" w:rsidR="0011664F" w:rsidRDefault="0011664F">
      <w:pPr>
        <w:spacing w:line="360" w:lineRule="auto"/>
        <w:rPr>
          <w:rFonts w:ascii="Times New Roman" w:hAnsi="Times New Roman" w:cs="Times New Roman"/>
          <w:sz w:val="24"/>
          <w:szCs w:val="24"/>
        </w:rPr>
      </w:pPr>
    </w:p>
    <w:tbl>
      <w:tblPr>
        <w:tblW w:w="8944"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1"/>
        <w:gridCol w:w="1520"/>
        <w:gridCol w:w="1236"/>
        <w:gridCol w:w="1236"/>
        <w:gridCol w:w="1236"/>
        <w:gridCol w:w="1315"/>
      </w:tblGrid>
      <w:tr w:rsidR="0011664F" w14:paraId="0DA1732A" w14:textId="77777777">
        <w:tc>
          <w:tcPr>
            <w:tcW w:w="2401" w:type="dxa"/>
          </w:tcPr>
          <w:p w14:paraId="6F462E39"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Years</w:t>
            </w:r>
          </w:p>
        </w:tc>
        <w:tc>
          <w:tcPr>
            <w:tcW w:w="1520" w:type="dxa"/>
          </w:tcPr>
          <w:p w14:paraId="726841CE"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2019</w:t>
            </w:r>
          </w:p>
        </w:tc>
        <w:tc>
          <w:tcPr>
            <w:tcW w:w="1236" w:type="dxa"/>
          </w:tcPr>
          <w:p w14:paraId="24B17AD7"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2020</w:t>
            </w:r>
          </w:p>
        </w:tc>
        <w:tc>
          <w:tcPr>
            <w:tcW w:w="1236" w:type="dxa"/>
          </w:tcPr>
          <w:p w14:paraId="47C25F73"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2021</w:t>
            </w:r>
          </w:p>
        </w:tc>
        <w:tc>
          <w:tcPr>
            <w:tcW w:w="1236" w:type="dxa"/>
          </w:tcPr>
          <w:p w14:paraId="06D49459"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2022</w:t>
            </w:r>
          </w:p>
        </w:tc>
        <w:tc>
          <w:tcPr>
            <w:tcW w:w="1315" w:type="dxa"/>
          </w:tcPr>
          <w:p w14:paraId="244BDE72"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2023</w:t>
            </w:r>
          </w:p>
        </w:tc>
      </w:tr>
      <w:tr w:rsidR="0011664F" w14:paraId="79307300" w14:textId="77777777">
        <w:tc>
          <w:tcPr>
            <w:tcW w:w="2401" w:type="dxa"/>
          </w:tcPr>
          <w:p w14:paraId="05CBCB22"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Investment</w:t>
            </w:r>
          </w:p>
        </w:tc>
        <w:tc>
          <w:tcPr>
            <w:tcW w:w="1520" w:type="dxa"/>
          </w:tcPr>
          <w:p w14:paraId="763C85A7"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264268.59</w:t>
            </w:r>
          </w:p>
        </w:tc>
        <w:tc>
          <w:tcPr>
            <w:tcW w:w="1236" w:type="dxa"/>
          </w:tcPr>
          <w:p w14:paraId="0AE0619D" w14:textId="77777777" w:rsidR="0011664F" w:rsidRDefault="00000000">
            <w:p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300617.94</w:t>
            </w:r>
          </w:p>
        </w:tc>
        <w:tc>
          <w:tcPr>
            <w:tcW w:w="1236" w:type="dxa"/>
          </w:tcPr>
          <w:p w14:paraId="5D0D86F2" w14:textId="77777777" w:rsidR="0011664F" w:rsidRDefault="00000000">
            <w:p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312773.82</w:t>
            </w:r>
          </w:p>
        </w:tc>
        <w:tc>
          <w:tcPr>
            <w:tcW w:w="1236" w:type="dxa"/>
          </w:tcPr>
          <w:p w14:paraId="6AFED39E" w14:textId="77777777" w:rsidR="0011664F" w:rsidRDefault="00000000">
            <w:p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342944.15</w:t>
            </w:r>
          </w:p>
        </w:tc>
        <w:tc>
          <w:tcPr>
            <w:tcW w:w="1315" w:type="dxa"/>
          </w:tcPr>
          <w:p w14:paraId="4D094F35" w14:textId="77777777" w:rsidR="0011664F" w:rsidRDefault="00000000">
            <w:p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360816.7</w:t>
            </w:r>
          </w:p>
        </w:tc>
      </w:tr>
      <w:tr w:rsidR="0011664F" w14:paraId="51907A91" w14:textId="77777777">
        <w:tc>
          <w:tcPr>
            <w:tcW w:w="2401" w:type="dxa"/>
          </w:tcPr>
          <w:p w14:paraId="52B8C388"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Deposit</w:t>
            </w:r>
          </w:p>
        </w:tc>
        <w:tc>
          <w:tcPr>
            <w:tcW w:w="1520" w:type="dxa"/>
          </w:tcPr>
          <w:p w14:paraId="15320E0D"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287936.65</w:t>
            </w:r>
          </w:p>
        </w:tc>
        <w:tc>
          <w:tcPr>
            <w:tcW w:w="1236" w:type="dxa"/>
          </w:tcPr>
          <w:p w14:paraId="3C51D3CD" w14:textId="77777777" w:rsidR="0011664F" w:rsidRDefault="00000000">
            <w:p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322383.51</w:t>
            </w:r>
          </w:p>
        </w:tc>
        <w:tc>
          <w:tcPr>
            <w:tcW w:w="1236" w:type="dxa"/>
          </w:tcPr>
          <w:p w14:paraId="2A373977" w14:textId="77777777" w:rsidR="0011664F" w:rsidRDefault="00000000">
            <w:p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341661.06</w:t>
            </w:r>
          </w:p>
        </w:tc>
        <w:tc>
          <w:tcPr>
            <w:tcW w:w="1236" w:type="dxa"/>
          </w:tcPr>
          <w:p w14:paraId="23A4437A" w14:textId="77777777" w:rsidR="0011664F" w:rsidRDefault="00000000">
            <w:p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340950.31</w:t>
            </w:r>
          </w:p>
        </w:tc>
        <w:tc>
          <w:tcPr>
            <w:tcW w:w="1315" w:type="dxa"/>
          </w:tcPr>
          <w:p w14:paraId="6FBD7077" w14:textId="77777777" w:rsidR="0011664F" w:rsidRDefault="00000000">
            <w:p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357388.4</w:t>
            </w:r>
          </w:p>
        </w:tc>
      </w:tr>
      <w:tr w:rsidR="0011664F" w14:paraId="18336758" w14:textId="77777777">
        <w:tc>
          <w:tcPr>
            <w:tcW w:w="2401" w:type="dxa"/>
          </w:tcPr>
          <w:p w14:paraId="2EBAF7E6"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Investment/Deposit</w:t>
            </w:r>
          </w:p>
        </w:tc>
        <w:tc>
          <w:tcPr>
            <w:tcW w:w="1520" w:type="dxa"/>
          </w:tcPr>
          <w:p w14:paraId="55C5099F"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92%</w:t>
            </w:r>
          </w:p>
        </w:tc>
        <w:tc>
          <w:tcPr>
            <w:tcW w:w="1236" w:type="dxa"/>
          </w:tcPr>
          <w:p w14:paraId="030EF527"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93.2%</w:t>
            </w:r>
          </w:p>
        </w:tc>
        <w:tc>
          <w:tcPr>
            <w:tcW w:w="1236" w:type="dxa"/>
          </w:tcPr>
          <w:p w14:paraId="6FDF8B38"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91.5%</w:t>
            </w:r>
          </w:p>
        </w:tc>
        <w:tc>
          <w:tcPr>
            <w:tcW w:w="1236" w:type="dxa"/>
          </w:tcPr>
          <w:p w14:paraId="6DECCA12"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100.5%</w:t>
            </w:r>
          </w:p>
        </w:tc>
        <w:tc>
          <w:tcPr>
            <w:tcW w:w="1315" w:type="dxa"/>
          </w:tcPr>
          <w:p w14:paraId="30110682"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100.9%</w:t>
            </w:r>
          </w:p>
        </w:tc>
      </w:tr>
    </w:tbl>
    <w:p w14:paraId="071064B4" w14:textId="77777777" w:rsidR="0011664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Source: Annual Financial Statement (2019-2023)</w:t>
      </w:r>
    </w:p>
    <w:p w14:paraId="1AF3F6AE" w14:textId="77777777" w:rsidR="0011664F" w:rsidRDefault="0011664F">
      <w:pPr>
        <w:spacing w:line="360" w:lineRule="auto"/>
        <w:jc w:val="both"/>
        <w:rPr>
          <w:rFonts w:ascii="Times New Roman" w:hAnsi="Times New Roman" w:cs="Times New Roman"/>
          <w:sz w:val="24"/>
          <w:szCs w:val="24"/>
        </w:rPr>
      </w:pPr>
    </w:p>
    <w:p w14:paraId="1C4B27E9" w14:textId="77777777" w:rsidR="0011664F" w:rsidRDefault="0011664F">
      <w:pPr>
        <w:spacing w:line="360" w:lineRule="auto"/>
        <w:jc w:val="both"/>
        <w:rPr>
          <w:rFonts w:ascii="Times New Roman" w:hAnsi="Times New Roman" w:cs="Times New Roman"/>
          <w:sz w:val="24"/>
          <w:szCs w:val="24"/>
        </w:rPr>
      </w:pPr>
    </w:p>
    <w:p w14:paraId="0A46E00D"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lang w:val="en-US"/>
        </w:rPr>
        <w:drawing>
          <wp:inline distT="0" distB="0" distL="0" distR="0" wp14:anchorId="6A3C911C" wp14:editId="3097C779">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0E145C" w14:textId="77777777" w:rsidR="0011664F" w:rsidRDefault="00000000">
      <w:pPr>
        <w:spacing w:line="360" w:lineRule="auto"/>
        <w:jc w:val="both"/>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Over the past five years, the investment amount relative to deposits has been consistently strong, with a growth rate exceeding 90%, indicating excellent investment-deposit performance. </w:t>
      </w:r>
    </w:p>
    <w:p w14:paraId="232FEBC2" w14:textId="77777777" w:rsidR="0011664F" w:rsidRDefault="0011664F">
      <w:pPr>
        <w:spacing w:line="360" w:lineRule="auto"/>
        <w:jc w:val="both"/>
        <w:rPr>
          <w:rFonts w:ascii="Times New Roman" w:eastAsia="Times New Roman" w:hAnsi="Times New Roman" w:cs="Times New Roman"/>
          <w:color w:val="222222"/>
          <w:sz w:val="24"/>
          <w:szCs w:val="24"/>
          <w:lang w:eastAsia="en-GB"/>
        </w:rPr>
      </w:pPr>
    </w:p>
    <w:p w14:paraId="00743F42" w14:textId="77777777" w:rsidR="0011664F" w:rsidRDefault="0011664F">
      <w:pPr>
        <w:spacing w:line="360" w:lineRule="auto"/>
        <w:jc w:val="both"/>
        <w:rPr>
          <w:rFonts w:ascii="Times New Roman" w:eastAsia="Times New Roman" w:hAnsi="Times New Roman" w:cs="Times New Roman"/>
          <w:color w:val="222222"/>
          <w:sz w:val="24"/>
          <w:szCs w:val="24"/>
          <w:lang w:eastAsia="en-GB"/>
        </w:rPr>
      </w:pPr>
    </w:p>
    <w:p w14:paraId="06AB68EC" w14:textId="77777777" w:rsidR="0011664F" w:rsidRDefault="0011664F">
      <w:pPr>
        <w:spacing w:line="360" w:lineRule="auto"/>
        <w:jc w:val="both"/>
        <w:rPr>
          <w:rFonts w:ascii="Times New Roman" w:eastAsia="Times New Roman" w:hAnsi="Times New Roman" w:cs="Times New Roman"/>
          <w:color w:val="222222"/>
          <w:sz w:val="24"/>
          <w:szCs w:val="24"/>
          <w:lang w:eastAsia="en-GB"/>
        </w:rPr>
      </w:pPr>
    </w:p>
    <w:p w14:paraId="37F14358" w14:textId="77777777" w:rsidR="0011664F" w:rsidRDefault="0011664F">
      <w:pPr>
        <w:spacing w:line="360" w:lineRule="auto"/>
        <w:jc w:val="both"/>
        <w:rPr>
          <w:rFonts w:ascii="Times New Roman" w:hAnsi="Times New Roman" w:cs="Times New Roman"/>
          <w:sz w:val="24"/>
          <w:szCs w:val="24"/>
        </w:rPr>
      </w:pPr>
    </w:p>
    <w:p w14:paraId="3DB145C2" w14:textId="77777777" w:rsidR="0011664F" w:rsidRDefault="0011664F">
      <w:pPr>
        <w:spacing w:line="360" w:lineRule="auto"/>
        <w:jc w:val="both"/>
        <w:rPr>
          <w:rFonts w:ascii="Times New Roman" w:hAnsi="Times New Roman" w:cs="Times New Roman"/>
          <w:sz w:val="24"/>
          <w:szCs w:val="24"/>
        </w:rPr>
      </w:pPr>
    </w:p>
    <w:p w14:paraId="54CE058F" w14:textId="77777777" w:rsidR="0011664F" w:rsidRDefault="0011664F">
      <w:pPr>
        <w:spacing w:line="360" w:lineRule="auto"/>
        <w:jc w:val="both"/>
        <w:rPr>
          <w:rFonts w:ascii="Times New Roman" w:hAnsi="Times New Roman" w:cs="Times New Roman"/>
          <w:sz w:val="24"/>
          <w:szCs w:val="24"/>
        </w:rPr>
      </w:pPr>
    </w:p>
    <w:p w14:paraId="7EB80FDE"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9CC40CD" wp14:editId="3BDEDC21">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45BE71" w14:textId="77777777" w:rsidR="0011664F" w:rsidRDefault="00000000">
      <w:pPr>
        <w:spacing w:line="360" w:lineRule="auto"/>
        <w:jc w:val="both"/>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lastRenderedPageBreak/>
        <w:t xml:space="preserve">Over the past five years, the graphs above highlight that most of the investment   </w:t>
      </w:r>
      <w:proofErr w:type="spellStart"/>
      <w:r>
        <w:rPr>
          <w:rFonts w:ascii="Times New Roman" w:eastAsia="Times New Roman" w:hAnsi="Times New Roman" w:cs="Times New Roman"/>
          <w:color w:val="222222"/>
          <w:sz w:val="24"/>
          <w:szCs w:val="24"/>
          <w:lang w:eastAsia="en-GB"/>
        </w:rPr>
        <w:t>inveted</w:t>
      </w:r>
      <w:proofErr w:type="spellEnd"/>
      <w:r>
        <w:rPr>
          <w:rFonts w:ascii="Times New Roman" w:eastAsia="Times New Roman" w:hAnsi="Times New Roman" w:cs="Times New Roman"/>
          <w:color w:val="222222"/>
          <w:sz w:val="24"/>
          <w:szCs w:val="24"/>
          <w:lang w:eastAsia="en-GB"/>
        </w:rPr>
        <w:t xml:space="preserve"> in urban area above 90</w:t>
      </w:r>
      <w:proofErr w:type="gramStart"/>
      <w:r>
        <w:rPr>
          <w:rFonts w:ascii="Times New Roman" w:eastAsia="Times New Roman" w:hAnsi="Times New Roman" w:cs="Times New Roman"/>
          <w:color w:val="222222"/>
          <w:sz w:val="24"/>
          <w:szCs w:val="24"/>
          <w:lang w:eastAsia="en-GB"/>
        </w:rPr>
        <w:t>%.Because</w:t>
      </w:r>
      <w:proofErr w:type="gramEnd"/>
      <w:r>
        <w:rPr>
          <w:rFonts w:ascii="Times New Roman" w:eastAsia="Times New Roman" w:hAnsi="Times New Roman" w:cs="Times New Roman"/>
          <w:color w:val="222222"/>
          <w:sz w:val="24"/>
          <w:szCs w:val="24"/>
          <w:lang w:eastAsia="en-GB"/>
        </w:rPr>
        <w:t xml:space="preserve"> most of the mills factories, garments ,institution is located in urban area.</w:t>
      </w:r>
    </w:p>
    <w:p w14:paraId="6CA7EC8F" w14:textId="77777777" w:rsidR="0011664F" w:rsidRDefault="0011664F">
      <w:pPr>
        <w:spacing w:line="360" w:lineRule="auto"/>
        <w:jc w:val="both"/>
        <w:rPr>
          <w:rFonts w:ascii="Times New Roman" w:hAnsi="Times New Roman" w:cs="Times New Roman"/>
          <w:sz w:val="24"/>
          <w:szCs w:val="24"/>
        </w:rPr>
      </w:pPr>
    </w:p>
    <w:p w14:paraId="012B1F5E" w14:textId="77777777" w:rsidR="0011664F" w:rsidRDefault="0011664F">
      <w:pPr>
        <w:spacing w:line="360" w:lineRule="auto"/>
        <w:jc w:val="both"/>
        <w:rPr>
          <w:rFonts w:ascii="Times New Roman" w:hAnsi="Times New Roman" w:cs="Times New Roman"/>
          <w:sz w:val="24"/>
          <w:szCs w:val="24"/>
        </w:rPr>
      </w:pPr>
    </w:p>
    <w:p w14:paraId="6E5EFE89" w14:textId="77777777" w:rsidR="0011664F" w:rsidRDefault="0011664F">
      <w:pPr>
        <w:spacing w:line="360" w:lineRule="auto"/>
        <w:jc w:val="both"/>
        <w:rPr>
          <w:rFonts w:ascii="Times New Roman" w:hAnsi="Times New Roman" w:cs="Times New Roman"/>
          <w:sz w:val="24"/>
          <w:szCs w:val="24"/>
        </w:rPr>
      </w:pPr>
    </w:p>
    <w:p w14:paraId="4D57C01C" w14:textId="77777777" w:rsidR="0011664F" w:rsidRDefault="0011664F">
      <w:pPr>
        <w:spacing w:line="360" w:lineRule="auto"/>
        <w:jc w:val="both"/>
        <w:rPr>
          <w:rFonts w:ascii="Times New Roman" w:hAnsi="Times New Roman" w:cs="Times New Roman"/>
          <w:sz w:val="24"/>
          <w:szCs w:val="24"/>
        </w:rPr>
      </w:pPr>
    </w:p>
    <w:p w14:paraId="3A71DE98" w14:textId="77777777" w:rsidR="0011664F" w:rsidRDefault="0011664F">
      <w:pPr>
        <w:spacing w:line="360" w:lineRule="auto"/>
        <w:jc w:val="both"/>
        <w:rPr>
          <w:rFonts w:ascii="Times New Roman" w:hAnsi="Times New Roman" w:cs="Times New Roman"/>
          <w:sz w:val="24"/>
          <w:szCs w:val="24"/>
        </w:rPr>
      </w:pPr>
    </w:p>
    <w:p w14:paraId="3D7540B0" w14:textId="77777777" w:rsidR="0011664F" w:rsidRDefault="0011664F">
      <w:pPr>
        <w:spacing w:line="360" w:lineRule="auto"/>
        <w:jc w:val="both"/>
        <w:rPr>
          <w:rFonts w:ascii="Times New Roman" w:hAnsi="Times New Roman" w:cs="Times New Roman"/>
          <w:sz w:val="24"/>
          <w:szCs w:val="24"/>
        </w:rPr>
      </w:pPr>
    </w:p>
    <w:p w14:paraId="563F871D" w14:textId="77777777" w:rsidR="0011664F" w:rsidRDefault="0011664F">
      <w:pPr>
        <w:spacing w:line="360" w:lineRule="auto"/>
        <w:jc w:val="both"/>
        <w:rPr>
          <w:rFonts w:ascii="Times New Roman" w:hAnsi="Times New Roman" w:cs="Times New Roman"/>
          <w:sz w:val="24"/>
          <w:szCs w:val="24"/>
        </w:rPr>
      </w:pPr>
    </w:p>
    <w:p w14:paraId="5E2F41F1" w14:textId="77777777" w:rsidR="0011664F" w:rsidRDefault="0011664F">
      <w:pPr>
        <w:spacing w:line="360" w:lineRule="auto"/>
        <w:jc w:val="both"/>
        <w:rPr>
          <w:rFonts w:ascii="Times New Roman" w:hAnsi="Times New Roman" w:cs="Times New Roman"/>
          <w:sz w:val="24"/>
          <w:szCs w:val="24"/>
        </w:rPr>
      </w:pPr>
    </w:p>
    <w:p w14:paraId="5601B5A8" w14:textId="77777777" w:rsidR="0011664F" w:rsidRDefault="0011664F">
      <w:pPr>
        <w:spacing w:line="360" w:lineRule="auto"/>
        <w:jc w:val="both"/>
        <w:rPr>
          <w:rFonts w:ascii="Times New Roman" w:hAnsi="Times New Roman" w:cs="Times New Roman"/>
          <w:sz w:val="24"/>
          <w:szCs w:val="24"/>
        </w:rPr>
      </w:pPr>
    </w:p>
    <w:p w14:paraId="1AA2D895" w14:textId="77777777" w:rsidR="0011664F" w:rsidRDefault="0011664F">
      <w:pPr>
        <w:spacing w:line="360" w:lineRule="auto"/>
        <w:jc w:val="both"/>
        <w:rPr>
          <w:rFonts w:ascii="Times New Roman" w:hAnsi="Times New Roman" w:cs="Times New Roman"/>
          <w:sz w:val="24"/>
          <w:szCs w:val="24"/>
        </w:rPr>
      </w:pPr>
    </w:p>
    <w:p w14:paraId="745B8AD7" w14:textId="77777777" w:rsidR="0011664F" w:rsidRDefault="0011664F">
      <w:pPr>
        <w:spacing w:line="360" w:lineRule="auto"/>
        <w:jc w:val="both"/>
        <w:rPr>
          <w:rFonts w:ascii="Times New Roman" w:hAnsi="Times New Roman" w:cs="Times New Roman"/>
          <w:sz w:val="24"/>
          <w:szCs w:val="24"/>
        </w:rPr>
      </w:pPr>
    </w:p>
    <w:p w14:paraId="76EA5B94" w14:textId="77777777" w:rsidR="0011664F" w:rsidRDefault="0011664F">
      <w:pPr>
        <w:spacing w:line="360" w:lineRule="auto"/>
        <w:jc w:val="both"/>
        <w:rPr>
          <w:rFonts w:ascii="Times New Roman" w:hAnsi="Times New Roman" w:cs="Times New Roman"/>
          <w:sz w:val="24"/>
          <w:szCs w:val="24"/>
        </w:rPr>
      </w:pPr>
    </w:p>
    <w:p w14:paraId="17C8382D" w14:textId="77777777" w:rsidR="0011664F" w:rsidRDefault="0011664F">
      <w:pPr>
        <w:spacing w:line="360" w:lineRule="auto"/>
        <w:jc w:val="both"/>
        <w:rPr>
          <w:rFonts w:ascii="Times New Roman" w:hAnsi="Times New Roman" w:cs="Times New Roman"/>
          <w:sz w:val="24"/>
          <w:szCs w:val="24"/>
        </w:rPr>
      </w:pPr>
    </w:p>
    <w:p w14:paraId="771FD01D" w14:textId="34B10B50" w:rsidR="0011664F" w:rsidRDefault="00000000">
      <w:pPr>
        <w:pStyle w:val="Heading2"/>
        <w:spacing w:line="360" w:lineRule="auto"/>
        <w:rPr>
          <w:rFonts w:ascii="Times New Roman" w:hAnsi="Times New Roman" w:cs="Times New Roman"/>
          <w:color w:val="auto"/>
          <w:sz w:val="24"/>
          <w:szCs w:val="24"/>
        </w:rPr>
      </w:pPr>
      <w:bookmarkStart w:id="16" w:name="_Hlk176028186"/>
      <w:r>
        <w:rPr>
          <w:rFonts w:ascii="Times New Roman" w:hAnsi="Times New Roman" w:cs="Times New Roman"/>
          <w:color w:val="auto"/>
          <w:sz w:val="24"/>
          <w:szCs w:val="24"/>
        </w:rPr>
        <w:t>4.</w:t>
      </w:r>
      <w:r w:rsidR="00C64338">
        <w:rPr>
          <w:rFonts w:ascii="Times New Roman" w:hAnsi="Times New Roman" w:cs="Times New Roman"/>
          <w:color w:val="auto"/>
          <w:sz w:val="24"/>
          <w:szCs w:val="24"/>
        </w:rPr>
        <w:t>3</w:t>
      </w:r>
      <w:r>
        <w:rPr>
          <w:rFonts w:ascii="Times New Roman" w:hAnsi="Times New Roman" w:cs="Times New Roman"/>
          <w:color w:val="auto"/>
          <w:sz w:val="24"/>
          <w:szCs w:val="24"/>
        </w:rPr>
        <w:t xml:space="preserve"> Division-wise Investment of the last five year’s (2019-23).</w:t>
      </w:r>
    </w:p>
    <w:bookmarkEnd w:id="16"/>
    <w:p w14:paraId="1A7FEA77" w14:textId="77777777" w:rsidR="0011664F" w:rsidRDefault="0011664F">
      <w:pPr>
        <w:spacing w:line="360" w:lineRule="auto"/>
        <w:jc w:val="both"/>
        <w:rPr>
          <w:rFonts w:ascii="Times New Roman" w:hAnsi="Times New Roman" w:cs="Times New Roman"/>
          <w:sz w:val="24"/>
          <w:szCs w:val="24"/>
        </w:rPr>
      </w:pPr>
    </w:p>
    <w:tbl>
      <w:tblPr>
        <w:tblW w:w="5000" w:type="pct"/>
        <w:tblLook w:val="04A0" w:firstRow="1" w:lastRow="0" w:firstColumn="1" w:lastColumn="0" w:noHBand="0" w:noVBand="1"/>
      </w:tblPr>
      <w:tblGrid>
        <w:gridCol w:w="1342"/>
        <w:gridCol w:w="1390"/>
        <w:gridCol w:w="1391"/>
        <w:gridCol w:w="1391"/>
        <w:gridCol w:w="1391"/>
        <w:gridCol w:w="1391"/>
      </w:tblGrid>
      <w:tr w:rsidR="0011664F" w14:paraId="5752A173" w14:textId="77777777">
        <w:trPr>
          <w:trHeight w:val="290"/>
        </w:trPr>
        <w:tc>
          <w:tcPr>
            <w:tcW w:w="809" w:type="pct"/>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14:paraId="38528982" w14:textId="77777777" w:rsidR="0011664F" w:rsidRDefault="00000000">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Division</w:t>
            </w:r>
          </w:p>
        </w:tc>
        <w:tc>
          <w:tcPr>
            <w:tcW w:w="838" w:type="pct"/>
            <w:tcBorders>
              <w:top w:val="single" w:sz="4" w:space="0" w:color="auto"/>
              <w:left w:val="nil"/>
              <w:bottom w:val="single" w:sz="4" w:space="0" w:color="auto"/>
              <w:right w:val="single" w:sz="4" w:space="0" w:color="auto"/>
            </w:tcBorders>
            <w:shd w:val="clear" w:color="auto" w:fill="auto"/>
            <w:noWrap/>
            <w:vAlign w:val="bottom"/>
          </w:tcPr>
          <w:p w14:paraId="5172157F"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2019</w:t>
            </w:r>
          </w:p>
        </w:tc>
        <w:tc>
          <w:tcPr>
            <w:tcW w:w="838" w:type="pct"/>
            <w:tcBorders>
              <w:top w:val="single" w:sz="4" w:space="0" w:color="auto"/>
              <w:left w:val="nil"/>
              <w:bottom w:val="single" w:sz="4" w:space="0" w:color="auto"/>
              <w:right w:val="single" w:sz="4" w:space="0" w:color="auto"/>
            </w:tcBorders>
            <w:shd w:val="clear" w:color="auto" w:fill="auto"/>
            <w:noWrap/>
            <w:vAlign w:val="bottom"/>
          </w:tcPr>
          <w:p w14:paraId="20AF77BD"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2020</w:t>
            </w:r>
          </w:p>
        </w:tc>
        <w:tc>
          <w:tcPr>
            <w:tcW w:w="838" w:type="pct"/>
            <w:tcBorders>
              <w:top w:val="single" w:sz="4" w:space="0" w:color="auto"/>
              <w:left w:val="nil"/>
              <w:bottom w:val="single" w:sz="4" w:space="0" w:color="auto"/>
              <w:right w:val="single" w:sz="4" w:space="0" w:color="auto"/>
            </w:tcBorders>
            <w:shd w:val="clear" w:color="auto" w:fill="auto"/>
            <w:noWrap/>
            <w:vAlign w:val="bottom"/>
          </w:tcPr>
          <w:p w14:paraId="069155E5"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2021</w:t>
            </w:r>
          </w:p>
        </w:tc>
        <w:tc>
          <w:tcPr>
            <w:tcW w:w="838" w:type="pct"/>
            <w:tcBorders>
              <w:top w:val="single" w:sz="4" w:space="0" w:color="auto"/>
              <w:left w:val="nil"/>
              <w:bottom w:val="single" w:sz="4" w:space="0" w:color="auto"/>
              <w:right w:val="single" w:sz="4" w:space="0" w:color="auto"/>
            </w:tcBorders>
            <w:shd w:val="clear" w:color="auto" w:fill="auto"/>
            <w:noWrap/>
            <w:vAlign w:val="bottom"/>
          </w:tcPr>
          <w:p w14:paraId="1098E991"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2022</w:t>
            </w:r>
          </w:p>
        </w:tc>
        <w:tc>
          <w:tcPr>
            <w:tcW w:w="838" w:type="pct"/>
            <w:tcBorders>
              <w:top w:val="single" w:sz="4" w:space="0" w:color="auto"/>
              <w:left w:val="nil"/>
              <w:bottom w:val="single" w:sz="4" w:space="0" w:color="auto"/>
              <w:right w:val="single" w:sz="4" w:space="0" w:color="auto"/>
            </w:tcBorders>
            <w:shd w:val="clear" w:color="auto" w:fill="auto"/>
            <w:noWrap/>
            <w:vAlign w:val="bottom"/>
          </w:tcPr>
          <w:p w14:paraId="55451C11"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2023</w:t>
            </w:r>
          </w:p>
        </w:tc>
      </w:tr>
      <w:tr w:rsidR="0011664F" w14:paraId="0B6289E6" w14:textId="77777777">
        <w:trPr>
          <w:trHeight w:val="290"/>
        </w:trPr>
        <w:tc>
          <w:tcPr>
            <w:tcW w:w="809" w:type="pct"/>
            <w:vMerge/>
            <w:tcBorders>
              <w:top w:val="single" w:sz="4" w:space="0" w:color="auto"/>
              <w:left w:val="single" w:sz="4" w:space="0" w:color="auto"/>
              <w:bottom w:val="single" w:sz="4" w:space="0" w:color="auto"/>
              <w:right w:val="single" w:sz="4" w:space="0" w:color="auto"/>
            </w:tcBorders>
            <w:vAlign w:val="center"/>
          </w:tcPr>
          <w:p w14:paraId="18089A7D" w14:textId="77777777" w:rsidR="0011664F" w:rsidRDefault="0011664F">
            <w:pPr>
              <w:spacing w:after="0" w:line="360" w:lineRule="auto"/>
              <w:rPr>
                <w:rFonts w:ascii="Times New Roman" w:eastAsia="Times New Roman" w:hAnsi="Times New Roman" w:cs="Times New Roman"/>
                <w:color w:val="000000"/>
                <w:sz w:val="24"/>
                <w:szCs w:val="24"/>
                <w:lang w:val="en-US"/>
              </w:rPr>
            </w:pPr>
          </w:p>
        </w:tc>
        <w:tc>
          <w:tcPr>
            <w:tcW w:w="838" w:type="pct"/>
            <w:tcBorders>
              <w:top w:val="nil"/>
              <w:left w:val="nil"/>
              <w:bottom w:val="single" w:sz="4" w:space="0" w:color="auto"/>
              <w:right w:val="single" w:sz="4" w:space="0" w:color="auto"/>
            </w:tcBorders>
            <w:shd w:val="clear" w:color="auto" w:fill="auto"/>
            <w:noWrap/>
            <w:vAlign w:val="bottom"/>
          </w:tcPr>
          <w:p w14:paraId="1D1B5B7E" w14:textId="77777777" w:rsidR="0011664F" w:rsidRDefault="00000000">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Amount</w:t>
            </w:r>
          </w:p>
        </w:tc>
        <w:tc>
          <w:tcPr>
            <w:tcW w:w="838" w:type="pct"/>
            <w:tcBorders>
              <w:top w:val="nil"/>
              <w:left w:val="nil"/>
              <w:bottom w:val="single" w:sz="4" w:space="0" w:color="auto"/>
              <w:right w:val="single" w:sz="4" w:space="0" w:color="auto"/>
            </w:tcBorders>
            <w:shd w:val="clear" w:color="auto" w:fill="auto"/>
            <w:noWrap/>
            <w:vAlign w:val="bottom"/>
          </w:tcPr>
          <w:p w14:paraId="3D91BF73" w14:textId="77777777" w:rsidR="0011664F" w:rsidRDefault="00000000">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Amount</w:t>
            </w:r>
          </w:p>
        </w:tc>
        <w:tc>
          <w:tcPr>
            <w:tcW w:w="838" w:type="pct"/>
            <w:tcBorders>
              <w:top w:val="nil"/>
              <w:left w:val="nil"/>
              <w:bottom w:val="single" w:sz="4" w:space="0" w:color="auto"/>
              <w:right w:val="single" w:sz="4" w:space="0" w:color="auto"/>
            </w:tcBorders>
            <w:shd w:val="clear" w:color="auto" w:fill="auto"/>
            <w:noWrap/>
            <w:vAlign w:val="bottom"/>
          </w:tcPr>
          <w:p w14:paraId="1B6A6DFB" w14:textId="77777777" w:rsidR="0011664F" w:rsidRDefault="00000000">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Amount</w:t>
            </w:r>
          </w:p>
        </w:tc>
        <w:tc>
          <w:tcPr>
            <w:tcW w:w="838" w:type="pct"/>
            <w:tcBorders>
              <w:top w:val="nil"/>
              <w:left w:val="nil"/>
              <w:bottom w:val="single" w:sz="4" w:space="0" w:color="auto"/>
              <w:right w:val="single" w:sz="4" w:space="0" w:color="auto"/>
            </w:tcBorders>
            <w:shd w:val="clear" w:color="auto" w:fill="auto"/>
            <w:noWrap/>
            <w:vAlign w:val="bottom"/>
          </w:tcPr>
          <w:p w14:paraId="5D09E96F" w14:textId="77777777" w:rsidR="0011664F" w:rsidRDefault="00000000">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Amount</w:t>
            </w:r>
          </w:p>
        </w:tc>
        <w:tc>
          <w:tcPr>
            <w:tcW w:w="838" w:type="pct"/>
            <w:tcBorders>
              <w:top w:val="nil"/>
              <w:left w:val="nil"/>
              <w:bottom w:val="single" w:sz="4" w:space="0" w:color="auto"/>
              <w:right w:val="single" w:sz="4" w:space="0" w:color="auto"/>
            </w:tcBorders>
            <w:shd w:val="clear" w:color="auto" w:fill="auto"/>
            <w:noWrap/>
            <w:vAlign w:val="bottom"/>
          </w:tcPr>
          <w:p w14:paraId="604D2A74" w14:textId="77777777" w:rsidR="0011664F" w:rsidRDefault="00000000">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Amount</w:t>
            </w:r>
          </w:p>
        </w:tc>
      </w:tr>
      <w:tr w:rsidR="0011664F" w14:paraId="7D243EA3" w14:textId="77777777">
        <w:trPr>
          <w:trHeight w:val="290"/>
        </w:trPr>
        <w:tc>
          <w:tcPr>
            <w:tcW w:w="809" w:type="pct"/>
            <w:tcBorders>
              <w:top w:val="nil"/>
              <w:left w:val="single" w:sz="4" w:space="0" w:color="auto"/>
              <w:bottom w:val="single" w:sz="4" w:space="0" w:color="auto"/>
              <w:right w:val="single" w:sz="4" w:space="0" w:color="auto"/>
            </w:tcBorders>
            <w:shd w:val="clear" w:color="auto" w:fill="auto"/>
            <w:noWrap/>
            <w:vAlign w:val="bottom"/>
          </w:tcPr>
          <w:p w14:paraId="5E50E34B" w14:textId="77777777" w:rsidR="0011664F" w:rsidRDefault="00000000">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Dhaka</w:t>
            </w:r>
          </w:p>
        </w:tc>
        <w:tc>
          <w:tcPr>
            <w:tcW w:w="838" w:type="pct"/>
            <w:tcBorders>
              <w:top w:val="nil"/>
              <w:left w:val="nil"/>
              <w:bottom w:val="single" w:sz="4" w:space="0" w:color="auto"/>
              <w:right w:val="single" w:sz="4" w:space="0" w:color="auto"/>
            </w:tcBorders>
            <w:shd w:val="clear" w:color="auto" w:fill="auto"/>
            <w:noWrap/>
            <w:vAlign w:val="bottom"/>
          </w:tcPr>
          <w:p w14:paraId="602C8A90"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1.94695E+11</w:t>
            </w:r>
          </w:p>
        </w:tc>
        <w:tc>
          <w:tcPr>
            <w:tcW w:w="838" w:type="pct"/>
            <w:tcBorders>
              <w:top w:val="nil"/>
              <w:left w:val="nil"/>
              <w:bottom w:val="single" w:sz="4" w:space="0" w:color="auto"/>
              <w:right w:val="single" w:sz="4" w:space="0" w:color="auto"/>
            </w:tcBorders>
            <w:shd w:val="clear" w:color="auto" w:fill="auto"/>
            <w:noWrap/>
            <w:vAlign w:val="bottom"/>
          </w:tcPr>
          <w:p w14:paraId="27CC99BF"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2.19165E+11</w:t>
            </w:r>
          </w:p>
        </w:tc>
        <w:tc>
          <w:tcPr>
            <w:tcW w:w="838" w:type="pct"/>
            <w:tcBorders>
              <w:top w:val="nil"/>
              <w:left w:val="nil"/>
              <w:bottom w:val="single" w:sz="4" w:space="0" w:color="auto"/>
              <w:right w:val="single" w:sz="4" w:space="0" w:color="auto"/>
            </w:tcBorders>
            <w:shd w:val="clear" w:color="auto" w:fill="auto"/>
            <w:noWrap/>
            <w:vAlign w:val="bottom"/>
          </w:tcPr>
          <w:p w14:paraId="6F32E949"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2.29706E+11</w:t>
            </w:r>
          </w:p>
        </w:tc>
        <w:tc>
          <w:tcPr>
            <w:tcW w:w="838" w:type="pct"/>
            <w:tcBorders>
              <w:top w:val="nil"/>
              <w:left w:val="nil"/>
              <w:bottom w:val="single" w:sz="4" w:space="0" w:color="auto"/>
              <w:right w:val="single" w:sz="4" w:space="0" w:color="auto"/>
            </w:tcBorders>
            <w:shd w:val="clear" w:color="auto" w:fill="auto"/>
            <w:noWrap/>
            <w:vAlign w:val="bottom"/>
          </w:tcPr>
          <w:p w14:paraId="0F2C7881"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2.54009E+11</w:t>
            </w:r>
          </w:p>
        </w:tc>
        <w:tc>
          <w:tcPr>
            <w:tcW w:w="838" w:type="pct"/>
            <w:tcBorders>
              <w:top w:val="nil"/>
              <w:left w:val="nil"/>
              <w:bottom w:val="single" w:sz="4" w:space="0" w:color="auto"/>
              <w:right w:val="single" w:sz="4" w:space="0" w:color="auto"/>
            </w:tcBorders>
            <w:shd w:val="clear" w:color="auto" w:fill="auto"/>
            <w:noWrap/>
            <w:vAlign w:val="bottom"/>
          </w:tcPr>
          <w:p w14:paraId="38179E64"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2.67679E+11</w:t>
            </w:r>
          </w:p>
        </w:tc>
      </w:tr>
      <w:tr w:rsidR="0011664F" w14:paraId="4106C6AC" w14:textId="77777777">
        <w:trPr>
          <w:trHeight w:val="290"/>
        </w:trPr>
        <w:tc>
          <w:tcPr>
            <w:tcW w:w="809" w:type="pct"/>
            <w:tcBorders>
              <w:top w:val="nil"/>
              <w:left w:val="single" w:sz="4" w:space="0" w:color="auto"/>
              <w:bottom w:val="single" w:sz="4" w:space="0" w:color="auto"/>
              <w:right w:val="single" w:sz="4" w:space="0" w:color="auto"/>
            </w:tcBorders>
            <w:shd w:val="clear" w:color="auto" w:fill="auto"/>
            <w:noWrap/>
            <w:vAlign w:val="bottom"/>
          </w:tcPr>
          <w:p w14:paraId="7283EB06" w14:textId="77777777" w:rsidR="0011664F" w:rsidRDefault="00000000">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Chittagong</w:t>
            </w:r>
          </w:p>
        </w:tc>
        <w:tc>
          <w:tcPr>
            <w:tcW w:w="838" w:type="pct"/>
            <w:tcBorders>
              <w:top w:val="nil"/>
              <w:left w:val="nil"/>
              <w:bottom w:val="single" w:sz="4" w:space="0" w:color="auto"/>
              <w:right w:val="single" w:sz="4" w:space="0" w:color="auto"/>
            </w:tcBorders>
            <w:shd w:val="clear" w:color="auto" w:fill="auto"/>
            <w:noWrap/>
            <w:vAlign w:val="bottom"/>
          </w:tcPr>
          <w:p w14:paraId="49DC301A"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50488355028</w:t>
            </w:r>
          </w:p>
        </w:tc>
        <w:tc>
          <w:tcPr>
            <w:tcW w:w="838" w:type="pct"/>
            <w:tcBorders>
              <w:top w:val="nil"/>
              <w:left w:val="nil"/>
              <w:bottom w:val="single" w:sz="4" w:space="0" w:color="auto"/>
              <w:right w:val="single" w:sz="4" w:space="0" w:color="auto"/>
            </w:tcBorders>
            <w:shd w:val="clear" w:color="auto" w:fill="auto"/>
            <w:noWrap/>
            <w:vAlign w:val="bottom"/>
          </w:tcPr>
          <w:p w14:paraId="1F2E3714"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62316540044</w:t>
            </w:r>
          </w:p>
        </w:tc>
        <w:tc>
          <w:tcPr>
            <w:tcW w:w="838" w:type="pct"/>
            <w:tcBorders>
              <w:top w:val="nil"/>
              <w:left w:val="nil"/>
              <w:bottom w:val="single" w:sz="4" w:space="0" w:color="auto"/>
              <w:right w:val="single" w:sz="4" w:space="0" w:color="auto"/>
            </w:tcBorders>
            <w:shd w:val="clear" w:color="auto" w:fill="auto"/>
            <w:noWrap/>
            <w:vAlign w:val="bottom"/>
          </w:tcPr>
          <w:p w14:paraId="4B03C7BE"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64502642480</w:t>
            </w:r>
          </w:p>
        </w:tc>
        <w:tc>
          <w:tcPr>
            <w:tcW w:w="838" w:type="pct"/>
            <w:tcBorders>
              <w:top w:val="nil"/>
              <w:left w:val="nil"/>
              <w:bottom w:val="single" w:sz="4" w:space="0" w:color="auto"/>
              <w:right w:val="single" w:sz="4" w:space="0" w:color="auto"/>
            </w:tcBorders>
            <w:shd w:val="clear" w:color="auto" w:fill="auto"/>
            <w:noWrap/>
            <w:vAlign w:val="bottom"/>
          </w:tcPr>
          <w:p w14:paraId="6B1296D1"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69266638635</w:t>
            </w:r>
          </w:p>
        </w:tc>
        <w:tc>
          <w:tcPr>
            <w:tcW w:w="838" w:type="pct"/>
            <w:tcBorders>
              <w:top w:val="nil"/>
              <w:left w:val="nil"/>
              <w:bottom w:val="single" w:sz="4" w:space="0" w:color="auto"/>
              <w:right w:val="single" w:sz="4" w:space="0" w:color="auto"/>
            </w:tcBorders>
            <w:shd w:val="clear" w:color="auto" w:fill="auto"/>
            <w:noWrap/>
            <w:vAlign w:val="bottom"/>
          </w:tcPr>
          <w:p w14:paraId="4330C51D"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72611074775</w:t>
            </w:r>
          </w:p>
        </w:tc>
      </w:tr>
      <w:tr w:rsidR="0011664F" w14:paraId="2AC0F6CA" w14:textId="77777777">
        <w:trPr>
          <w:trHeight w:val="290"/>
        </w:trPr>
        <w:tc>
          <w:tcPr>
            <w:tcW w:w="809" w:type="pct"/>
            <w:tcBorders>
              <w:top w:val="nil"/>
              <w:left w:val="single" w:sz="4" w:space="0" w:color="auto"/>
              <w:bottom w:val="single" w:sz="4" w:space="0" w:color="auto"/>
              <w:right w:val="single" w:sz="4" w:space="0" w:color="auto"/>
            </w:tcBorders>
            <w:shd w:val="clear" w:color="auto" w:fill="auto"/>
            <w:noWrap/>
            <w:vAlign w:val="bottom"/>
          </w:tcPr>
          <w:p w14:paraId="3C0085DB" w14:textId="77777777" w:rsidR="0011664F" w:rsidRDefault="00000000">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Sylhet</w:t>
            </w:r>
          </w:p>
        </w:tc>
        <w:tc>
          <w:tcPr>
            <w:tcW w:w="838" w:type="pct"/>
            <w:tcBorders>
              <w:top w:val="nil"/>
              <w:left w:val="nil"/>
              <w:bottom w:val="single" w:sz="4" w:space="0" w:color="auto"/>
              <w:right w:val="single" w:sz="4" w:space="0" w:color="auto"/>
            </w:tcBorders>
            <w:shd w:val="clear" w:color="auto" w:fill="auto"/>
            <w:noWrap/>
            <w:vAlign w:val="bottom"/>
          </w:tcPr>
          <w:p w14:paraId="7B1C066F"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596444575</w:t>
            </w:r>
          </w:p>
        </w:tc>
        <w:tc>
          <w:tcPr>
            <w:tcW w:w="838" w:type="pct"/>
            <w:tcBorders>
              <w:top w:val="nil"/>
              <w:left w:val="nil"/>
              <w:bottom w:val="single" w:sz="4" w:space="0" w:color="auto"/>
              <w:right w:val="single" w:sz="4" w:space="0" w:color="auto"/>
            </w:tcBorders>
            <w:shd w:val="clear" w:color="auto" w:fill="auto"/>
            <w:noWrap/>
            <w:vAlign w:val="bottom"/>
          </w:tcPr>
          <w:p w14:paraId="7D2FD565"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559850559</w:t>
            </w:r>
          </w:p>
        </w:tc>
        <w:tc>
          <w:tcPr>
            <w:tcW w:w="838" w:type="pct"/>
            <w:tcBorders>
              <w:top w:val="nil"/>
              <w:left w:val="nil"/>
              <w:bottom w:val="single" w:sz="4" w:space="0" w:color="auto"/>
              <w:right w:val="single" w:sz="4" w:space="0" w:color="auto"/>
            </w:tcBorders>
            <w:shd w:val="clear" w:color="auto" w:fill="auto"/>
            <w:noWrap/>
            <w:vAlign w:val="bottom"/>
          </w:tcPr>
          <w:p w14:paraId="2F1A744F"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536130298</w:t>
            </w:r>
          </w:p>
        </w:tc>
        <w:tc>
          <w:tcPr>
            <w:tcW w:w="838" w:type="pct"/>
            <w:tcBorders>
              <w:top w:val="nil"/>
              <w:left w:val="nil"/>
              <w:bottom w:val="single" w:sz="4" w:space="0" w:color="auto"/>
              <w:right w:val="single" w:sz="4" w:space="0" w:color="auto"/>
            </w:tcBorders>
            <w:shd w:val="clear" w:color="auto" w:fill="auto"/>
            <w:noWrap/>
            <w:vAlign w:val="bottom"/>
          </w:tcPr>
          <w:p w14:paraId="24ECD4D7"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790794787</w:t>
            </w:r>
          </w:p>
        </w:tc>
        <w:tc>
          <w:tcPr>
            <w:tcW w:w="838" w:type="pct"/>
            <w:tcBorders>
              <w:top w:val="nil"/>
              <w:left w:val="nil"/>
              <w:bottom w:val="single" w:sz="4" w:space="0" w:color="auto"/>
              <w:right w:val="single" w:sz="4" w:space="0" w:color="auto"/>
            </w:tcBorders>
            <w:shd w:val="clear" w:color="auto" w:fill="auto"/>
            <w:noWrap/>
            <w:vAlign w:val="bottom"/>
          </w:tcPr>
          <w:p w14:paraId="2CAE034A"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1478424918</w:t>
            </w:r>
          </w:p>
        </w:tc>
      </w:tr>
      <w:tr w:rsidR="0011664F" w14:paraId="2D69DE5F" w14:textId="77777777">
        <w:trPr>
          <w:trHeight w:val="290"/>
        </w:trPr>
        <w:tc>
          <w:tcPr>
            <w:tcW w:w="809" w:type="pct"/>
            <w:tcBorders>
              <w:top w:val="nil"/>
              <w:left w:val="single" w:sz="4" w:space="0" w:color="auto"/>
              <w:bottom w:val="single" w:sz="4" w:space="0" w:color="auto"/>
              <w:right w:val="single" w:sz="4" w:space="0" w:color="auto"/>
            </w:tcBorders>
            <w:shd w:val="clear" w:color="auto" w:fill="auto"/>
            <w:noWrap/>
            <w:vAlign w:val="bottom"/>
          </w:tcPr>
          <w:p w14:paraId="47C8731B" w14:textId="77777777" w:rsidR="0011664F" w:rsidRDefault="00000000">
            <w:pPr>
              <w:spacing w:after="0" w:line="360" w:lineRule="auto"/>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lastRenderedPageBreak/>
              <w:t>Rajshahi</w:t>
            </w:r>
            <w:proofErr w:type="spellEnd"/>
          </w:p>
        </w:tc>
        <w:tc>
          <w:tcPr>
            <w:tcW w:w="838" w:type="pct"/>
            <w:tcBorders>
              <w:top w:val="nil"/>
              <w:left w:val="nil"/>
              <w:bottom w:val="single" w:sz="4" w:space="0" w:color="auto"/>
              <w:right w:val="single" w:sz="4" w:space="0" w:color="auto"/>
            </w:tcBorders>
            <w:shd w:val="clear" w:color="auto" w:fill="auto"/>
            <w:noWrap/>
            <w:vAlign w:val="bottom"/>
          </w:tcPr>
          <w:p w14:paraId="6FF4B6D6"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6474479583</w:t>
            </w:r>
          </w:p>
        </w:tc>
        <w:tc>
          <w:tcPr>
            <w:tcW w:w="838" w:type="pct"/>
            <w:tcBorders>
              <w:top w:val="nil"/>
              <w:left w:val="nil"/>
              <w:bottom w:val="single" w:sz="4" w:space="0" w:color="auto"/>
              <w:right w:val="single" w:sz="4" w:space="0" w:color="auto"/>
            </w:tcBorders>
            <w:shd w:val="clear" w:color="auto" w:fill="auto"/>
            <w:noWrap/>
            <w:vAlign w:val="bottom"/>
          </w:tcPr>
          <w:p w14:paraId="1A171C64"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6443695356</w:t>
            </w:r>
          </w:p>
        </w:tc>
        <w:tc>
          <w:tcPr>
            <w:tcW w:w="838" w:type="pct"/>
            <w:tcBorders>
              <w:top w:val="nil"/>
              <w:left w:val="nil"/>
              <w:bottom w:val="single" w:sz="4" w:space="0" w:color="auto"/>
              <w:right w:val="single" w:sz="4" w:space="0" w:color="auto"/>
            </w:tcBorders>
            <w:shd w:val="clear" w:color="auto" w:fill="auto"/>
            <w:noWrap/>
            <w:vAlign w:val="bottom"/>
          </w:tcPr>
          <w:p w14:paraId="03A8EA7E"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6352500803</w:t>
            </w:r>
          </w:p>
        </w:tc>
        <w:tc>
          <w:tcPr>
            <w:tcW w:w="838" w:type="pct"/>
            <w:tcBorders>
              <w:top w:val="nil"/>
              <w:left w:val="nil"/>
              <w:bottom w:val="single" w:sz="4" w:space="0" w:color="auto"/>
              <w:right w:val="single" w:sz="4" w:space="0" w:color="auto"/>
            </w:tcBorders>
            <w:shd w:val="clear" w:color="auto" w:fill="auto"/>
            <w:noWrap/>
            <w:vAlign w:val="bottom"/>
          </w:tcPr>
          <w:p w14:paraId="0238A62A"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6560741567</w:t>
            </w:r>
          </w:p>
        </w:tc>
        <w:tc>
          <w:tcPr>
            <w:tcW w:w="838" w:type="pct"/>
            <w:tcBorders>
              <w:top w:val="nil"/>
              <w:left w:val="nil"/>
              <w:bottom w:val="single" w:sz="4" w:space="0" w:color="auto"/>
              <w:right w:val="single" w:sz="4" w:space="0" w:color="auto"/>
            </w:tcBorders>
            <w:shd w:val="clear" w:color="auto" w:fill="auto"/>
            <w:noWrap/>
            <w:vAlign w:val="bottom"/>
          </w:tcPr>
          <w:p w14:paraId="524B4A2F"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6317894895</w:t>
            </w:r>
          </w:p>
        </w:tc>
      </w:tr>
      <w:tr w:rsidR="0011664F" w14:paraId="070C90F4" w14:textId="77777777">
        <w:trPr>
          <w:trHeight w:val="290"/>
        </w:trPr>
        <w:tc>
          <w:tcPr>
            <w:tcW w:w="809" w:type="pct"/>
            <w:tcBorders>
              <w:top w:val="nil"/>
              <w:left w:val="single" w:sz="4" w:space="0" w:color="auto"/>
              <w:bottom w:val="single" w:sz="4" w:space="0" w:color="auto"/>
              <w:right w:val="single" w:sz="4" w:space="0" w:color="auto"/>
            </w:tcBorders>
            <w:shd w:val="clear" w:color="auto" w:fill="auto"/>
            <w:noWrap/>
            <w:vAlign w:val="bottom"/>
          </w:tcPr>
          <w:p w14:paraId="51849F34" w14:textId="77777777" w:rsidR="0011664F" w:rsidRDefault="00000000">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Khulna</w:t>
            </w:r>
          </w:p>
        </w:tc>
        <w:tc>
          <w:tcPr>
            <w:tcW w:w="838" w:type="pct"/>
            <w:tcBorders>
              <w:top w:val="nil"/>
              <w:left w:val="nil"/>
              <w:bottom w:val="single" w:sz="4" w:space="0" w:color="auto"/>
              <w:right w:val="single" w:sz="4" w:space="0" w:color="auto"/>
            </w:tcBorders>
            <w:shd w:val="clear" w:color="auto" w:fill="auto"/>
            <w:noWrap/>
            <w:vAlign w:val="bottom"/>
          </w:tcPr>
          <w:p w14:paraId="67DC6CAC"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6245768176</w:t>
            </w:r>
          </w:p>
        </w:tc>
        <w:tc>
          <w:tcPr>
            <w:tcW w:w="838" w:type="pct"/>
            <w:tcBorders>
              <w:top w:val="nil"/>
              <w:left w:val="nil"/>
              <w:bottom w:val="single" w:sz="4" w:space="0" w:color="auto"/>
              <w:right w:val="single" w:sz="4" w:space="0" w:color="auto"/>
            </w:tcBorders>
            <w:shd w:val="clear" w:color="auto" w:fill="auto"/>
            <w:noWrap/>
            <w:vAlign w:val="bottom"/>
          </w:tcPr>
          <w:p w14:paraId="0E41FA13"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6429542620</w:t>
            </w:r>
          </w:p>
        </w:tc>
        <w:tc>
          <w:tcPr>
            <w:tcW w:w="838" w:type="pct"/>
            <w:tcBorders>
              <w:top w:val="nil"/>
              <w:left w:val="nil"/>
              <w:bottom w:val="single" w:sz="4" w:space="0" w:color="auto"/>
              <w:right w:val="single" w:sz="4" w:space="0" w:color="auto"/>
            </w:tcBorders>
            <w:shd w:val="clear" w:color="auto" w:fill="auto"/>
            <w:noWrap/>
            <w:vAlign w:val="bottom"/>
          </w:tcPr>
          <w:p w14:paraId="14235A7C"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6296518408</w:t>
            </w:r>
          </w:p>
        </w:tc>
        <w:tc>
          <w:tcPr>
            <w:tcW w:w="838" w:type="pct"/>
            <w:tcBorders>
              <w:top w:val="nil"/>
              <w:left w:val="nil"/>
              <w:bottom w:val="single" w:sz="4" w:space="0" w:color="auto"/>
              <w:right w:val="single" w:sz="4" w:space="0" w:color="auto"/>
            </w:tcBorders>
            <w:shd w:val="clear" w:color="auto" w:fill="auto"/>
            <w:noWrap/>
            <w:vAlign w:val="bottom"/>
          </w:tcPr>
          <w:p w14:paraId="2B5307A3"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7009059035</w:t>
            </w:r>
          </w:p>
        </w:tc>
        <w:tc>
          <w:tcPr>
            <w:tcW w:w="838" w:type="pct"/>
            <w:tcBorders>
              <w:top w:val="nil"/>
              <w:left w:val="nil"/>
              <w:bottom w:val="single" w:sz="4" w:space="0" w:color="auto"/>
              <w:right w:val="single" w:sz="4" w:space="0" w:color="auto"/>
            </w:tcBorders>
            <w:shd w:val="clear" w:color="auto" w:fill="auto"/>
            <w:noWrap/>
            <w:vAlign w:val="bottom"/>
          </w:tcPr>
          <w:p w14:paraId="2B58C1B9"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6906705509</w:t>
            </w:r>
          </w:p>
        </w:tc>
      </w:tr>
      <w:tr w:rsidR="0011664F" w14:paraId="1BE4FF4E" w14:textId="77777777">
        <w:trPr>
          <w:trHeight w:val="290"/>
        </w:trPr>
        <w:tc>
          <w:tcPr>
            <w:tcW w:w="809" w:type="pct"/>
            <w:tcBorders>
              <w:top w:val="nil"/>
              <w:left w:val="single" w:sz="4" w:space="0" w:color="auto"/>
              <w:bottom w:val="single" w:sz="4" w:space="0" w:color="auto"/>
              <w:right w:val="single" w:sz="4" w:space="0" w:color="auto"/>
            </w:tcBorders>
            <w:shd w:val="clear" w:color="auto" w:fill="auto"/>
            <w:noWrap/>
            <w:vAlign w:val="bottom"/>
          </w:tcPr>
          <w:p w14:paraId="0821A3B5" w14:textId="77777777" w:rsidR="0011664F" w:rsidRDefault="00000000">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Rangpur</w:t>
            </w:r>
          </w:p>
        </w:tc>
        <w:tc>
          <w:tcPr>
            <w:tcW w:w="838" w:type="pct"/>
            <w:tcBorders>
              <w:top w:val="nil"/>
              <w:left w:val="nil"/>
              <w:bottom w:val="single" w:sz="4" w:space="0" w:color="auto"/>
              <w:right w:val="single" w:sz="4" w:space="0" w:color="auto"/>
            </w:tcBorders>
            <w:shd w:val="clear" w:color="auto" w:fill="auto"/>
            <w:noWrap/>
            <w:vAlign w:val="bottom"/>
          </w:tcPr>
          <w:p w14:paraId="0D91F9AD"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2267255928</w:t>
            </w:r>
          </w:p>
        </w:tc>
        <w:tc>
          <w:tcPr>
            <w:tcW w:w="838" w:type="pct"/>
            <w:tcBorders>
              <w:top w:val="nil"/>
              <w:left w:val="nil"/>
              <w:bottom w:val="single" w:sz="4" w:space="0" w:color="auto"/>
              <w:right w:val="single" w:sz="4" w:space="0" w:color="auto"/>
            </w:tcBorders>
            <w:shd w:val="clear" w:color="auto" w:fill="auto"/>
            <w:noWrap/>
            <w:vAlign w:val="bottom"/>
          </w:tcPr>
          <w:p w14:paraId="342407B0"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2390991771</w:t>
            </w:r>
          </w:p>
        </w:tc>
        <w:tc>
          <w:tcPr>
            <w:tcW w:w="838" w:type="pct"/>
            <w:tcBorders>
              <w:top w:val="nil"/>
              <w:left w:val="nil"/>
              <w:bottom w:val="single" w:sz="4" w:space="0" w:color="auto"/>
              <w:right w:val="single" w:sz="4" w:space="0" w:color="auto"/>
            </w:tcBorders>
            <w:shd w:val="clear" w:color="auto" w:fill="auto"/>
            <w:noWrap/>
            <w:vAlign w:val="bottom"/>
          </w:tcPr>
          <w:p w14:paraId="6547BA5C"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2165276204</w:t>
            </w:r>
          </w:p>
        </w:tc>
        <w:tc>
          <w:tcPr>
            <w:tcW w:w="838" w:type="pct"/>
            <w:tcBorders>
              <w:top w:val="nil"/>
              <w:left w:val="nil"/>
              <w:bottom w:val="single" w:sz="4" w:space="0" w:color="auto"/>
              <w:right w:val="single" w:sz="4" w:space="0" w:color="auto"/>
            </w:tcBorders>
            <w:shd w:val="clear" w:color="auto" w:fill="auto"/>
            <w:noWrap/>
            <w:vAlign w:val="bottom"/>
          </w:tcPr>
          <w:p w14:paraId="0BC549F2"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2060156874</w:t>
            </w:r>
          </w:p>
        </w:tc>
        <w:tc>
          <w:tcPr>
            <w:tcW w:w="838" w:type="pct"/>
            <w:tcBorders>
              <w:top w:val="nil"/>
              <w:left w:val="nil"/>
              <w:bottom w:val="single" w:sz="4" w:space="0" w:color="auto"/>
              <w:right w:val="single" w:sz="4" w:space="0" w:color="auto"/>
            </w:tcBorders>
            <w:shd w:val="clear" w:color="auto" w:fill="auto"/>
            <w:noWrap/>
            <w:vAlign w:val="bottom"/>
          </w:tcPr>
          <w:p w14:paraId="2AB27952"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1985460307</w:t>
            </w:r>
          </w:p>
        </w:tc>
      </w:tr>
      <w:tr w:rsidR="0011664F" w14:paraId="552291AE" w14:textId="77777777">
        <w:trPr>
          <w:trHeight w:val="290"/>
        </w:trPr>
        <w:tc>
          <w:tcPr>
            <w:tcW w:w="809" w:type="pct"/>
            <w:tcBorders>
              <w:top w:val="nil"/>
              <w:left w:val="single" w:sz="4" w:space="0" w:color="auto"/>
              <w:bottom w:val="single" w:sz="4" w:space="0" w:color="auto"/>
              <w:right w:val="single" w:sz="4" w:space="0" w:color="auto"/>
            </w:tcBorders>
            <w:shd w:val="clear" w:color="auto" w:fill="auto"/>
            <w:noWrap/>
            <w:vAlign w:val="bottom"/>
          </w:tcPr>
          <w:p w14:paraId="3B2315DF" w14:textId="77777777" w:rsidR="0011664F" w:rsidRDefault="00000000">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Barisal</w:t>
            </w:r>
          </w:p>
        </w:tc>
        <w:tc>
          <w:tcPr>
            <w:tcW w:w="838" w:type="pct"/>
            <w:tcBorders>
              <w:top w:val="nil"/>
              <w:left w:val="nil"/>
              <w:bottom w:val="single" w:sz="4" w:space="0" w:color="auto"/>
              <w:right w:val="single" w:sz="4" w:space="0" w:color="auto"/>
            </w:tcBorders>
            <w:shd w:val="clear" w:color="auto" w:fill="auto"/>
            <w:noWrap/>
            <w:vAlign w:val="bottom"/>
          </w:tcPr>
          <w:p w14:paraId="4C0AF13D"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1403466160</w:t>
            </w:r>
          </w:p>
        </w:tc>
        <w:tc>
          <w:tcPr>
            <w:tcW w:w="838" w:type="pct"/>
            <w:tcBorders>
              <w:top w:val="nil"/>
              <w:left w:val="nil"/>
              <w:bottom w:val="single" w:sz="4" w:space="0" w:color="auto"/>
              <w:right w:val="single" w:sz="4" w:space="0" w:color="auto"/>
            </w:tcBorders>
            <w:shd w:val="clear" w:color="auto" w:fill="auto"/>
            <w:noWrap/>
            <w:vAlign w:val="bottom"/>
          </w:tcPr>
          <w:p w14:paraId="5AD59A35"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1434312616</w:t>
            </w:r>
          </w:p>
        </w:tc>
        <w:tc>
          <w:tcPr>
            <w:tcW w:w="838" w:type="pct"/>
            <w:tcBorders>
              <w:top w:val="nil"/>
              <w:left w:val="nil"/>
              <w:bottom w:val="single" w:sz="4" w:space="0" w:color="auto"/>
              <w:right w:val="single" w:sz="4" w:space="0" w:color="auto"/>
            </w:tcBorders>
            <w:shd w:val="clear" w:color="auto" w:fill="auto"/>
            <w:noWrap/>
            <w:vAlign w:val="bottom"/>
          </w:tcPr>
          <w:p w14:paraId="4F89D66B"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1346655415</w:t>
            </w:r>
          </w:p>
        </w:tc>
        <w:tc>
          <w:tcPr>
            <w:tcW w:w="838" w:type="pct"/>
            <w:tcBorders>
              <w:top w:val="nil"/>
              <w:left w:val="nil"/>
              <w:bottom w:val="single" w:sz="4" w:space="0" w:color="auto"/>
              <w:right w:val="single" w:sz="4" w:space="0" w:color="auto"/>
            </w:tcBorders>
            <w:shd w:val="clear" w:color="auto" w:fill="auto"/>
            <w:noWrap/>
            <w:vAlign w:val="bottom"/>
          </w:tcPr>
          <w:p w14:paraId="75F3A7AD"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1290198009</w:t>
            </w:r>
          </w:p>
        </w:tc>
        <w:tc>
          <w:tcPr>
            <w:tcW w:w="838" w:type="pct"/>
            <w:tcBorders>
              <w:top w:val="nil"/>
              <w:left w:val="nil"/>
              <w:bottom w:val="single" w:sz="4" w:space="0" w:color="auto"/>
              <w:right w:val="single" w:sz="4" w:space="0" w:color="auto"/>
            </w:tcBorders>
            <w:shd w:val="clear" w:color="auto" w:fill="auto"/>
            <w:noWrap/>
            <w:vAlign w:val="bottom"/>
          </w:tcPr>
          <w:p w14:paraId="1F748BC4"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1500748571</w:t>
            </w:r>
          </w:p>
        </w:tc>
      </w:tr>
      <w:tr w:rsidR="0011664F" w14:paraId="35BAD2AE" w14:textId="77777777">
        <w:trPr>
          <w:trHeight w:val="290"/>
        </w:trPr>
        <w:tc>
          <w:tcPr>
            <w:tcW w:w="809" w:type="pct"/>
            <w:tcBorders>
              <w:top w:val="nil"/>
              <w:left w:val="single" w:sz="4" w:space="0" w:color="auto"/>
              <w:bottom w:val="single" w:sz="4" w:space="0" w:color="auto"/>
              <w:right w:val="single" w:sz="4" w:space="0" w:color="auto"/>
            </w:tcBorders>
            <w:shd w:val="clear" w:color="auto" w:fill="auto"/>
            <w:noWrap/>
            <w:vAlign w:val="bottom"/>
          </w:tcPr>
          <w:p w14:paraId="2A3B91E2" w14:textId="77777777" w:rsidR="0011664F" w:rsidRDefault="00000000">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Mymensingh</w:t>
            </w:r>
          </w:p>
        </w:tc>
        <w:tc>
          <w:tcPr>
            <w:tcW w:w="838" w:type="pct"/>
            <w:tcBorders>
              <w:top w:val="nil"/>
              <w:left w:val="nil"/>
              <w:bottom w:val="single" w:sz="4" w:space="0" w:color="auto"/>
              <w:right w:val="single" w:sz="4" w:space="0" w:color="auto"/>
            </w:tcBorders>
            <w:shd w:val="clear" w:color="auto" w:fill="auto"/>
            <w:noWrap/>
            <w:vAlign w:val="bottom"/>
          </w:tcPr>
          <w:p w14:paraId="4A58647E"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2098141116</w:t>
            </w:r>
          </w:p>
        </w:tc>
        <w:tc>
          <w:tcPr>
            <w:tcW w:w="838" w:type="pct"/>
            <w:tcBorders>
              <w:top w:val="nil"/>
              <w:left w:val="nil"/>
              <w:bottom w:val="single" w:sz="4" w:space="0" w:color="auto"/>
              <w:right w:val="single" w:sz="4" w:space="0" w:color="auto"/>
            </w:tcBorders>
            <w:shd w:val="clear" w:color="auto" w:fill="auto"/>
            <w:noWrap/>
            <w:vAlign w:val="bottom"/>
          </w:tcPr>
          <w:p w14:paraId="3C140400"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1878443339</w:t>
            </w:r>
          </w:p>
        </w:tc>
        <w:tc>
          <w:tcPr>
            <w:tcW w:w="838" w:type="pct"/>
            <w:tcBorders>
              <w:top w:val="nil"/>
              <w:left w:val="nil"/>
              <w:bottom w:val="single" w:sz="4" w:space="0" w:color="auto"/>
              <w:right w:val="single" w:sz="4" w:space="0" w:color="auto"/>
            </w:tcBorders>
            <w:shd w:val="clear" w:color="auto" w:fill="auto"/>
            <w:noWrap/>
            <w:vAlign w:val="bottom"/>
          </w:tcPr>
          <w:p w14:paraId="66EA3FC0"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1368092627</w:t>
            </w:r>
          </w:p>
        </w:tc>
        <w:tc>
          <w:tcPr>
            <w:tcW w:w="838" w:type="pct"/>
            <w:tcBorders>
              <w:top w:val="nil"/>
              <w:left w:val="nil"/>
              <w:bottom w:val="single" w:sz="4" w:space="0" w:color="auto"/>
              <w:right w:val="single" w:sz="4" w:space="0" w:color="auto"/>
            </w:tcBorders>
            <w:shd w:val="clear" w:color="auto" w:fill="auto"/>
            <w:noWrap/>
            <w:vAlign w:val="bottom"/>
          </w:tcPr>
          <w:p w14:paraId="439C9B17"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1957184661</w:t>
            </w:r>
          </w:p>
        </w:tc>
        <w:tc>
          <w:tcPr>
            <w:tcW w:w="838" w:type="pct"/>
            <w:tcBorders>
              <w:top w:val="nil"/>
              <w:left w:val="nil"/>
              <w:bottom w:val="single" w:sz="4" w:space="0" w:color="auto"/>
              <w:right w:val="single" w:sz="4" w:space="0" w:color="auto"/>
            </w:tcBorders>
            <w:shd w:val="clear" w:color="auto" w:fill="auto"/>
            <w:noWrap/>
            <w:vAlign w:val="bottom"/>
          </w:tcPr>
          <w:p w14:paraId="69F6A23C" w14:textId="77777777" w:rsidR="0011664F" w:rsidRDefault="00000000">
            <w:pPr>
              <w:spacing w:after="0"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2337909789</w:t>
            </w:r>
          </w:p>
        </w:tc>
      </w:tr>
    </w:tbl>
    <w:p w14:paraId="5B3132DA" w14:textId="77777777" w:rsidR="0011664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Source: Annual Financial Statement (2019-2023)</w:t>
      </w:r>
    </w:p>
    <w:p w14:paraId="0978C6A4" w14:textId="77777777" w:rsidR="0011664F" w:rsidRDefault="0011664F">
      <w:pPr>
        <w:spacing w:line="360" w:lineRule="auto"/>
        <w:jc w:val="both"/>
        <w:rPr>
          <w:rFonts w:ascii="Times New Roman" w:hAnsi="Times New Roman" w:cs="Times New Roman"/>
          <w:sz w:val="24"/>
          <w:szCs w:val="24"/>
        </w:rPr>
      </w:pPr>
    </w:p>
    <w:p w14:paraId="79693533" w14:textId="77777777" w:rsidR="0011664F" w:rsidRDefault="0011664F">
      <w:pPr>
        <w:spacing w:line="360" w:lineRule="auto"/>
        <w:jc w:val="both"/>
        <w:rPr>
          <w:rFonts w:ascii="Times New Roman" w:hAnsi="Times New Roman" w:cs="Times New Roman"/>
          <w:sz w:val="24"/>
          <w:szCs w:val="24"/>
        </w:rPr>
      </w:pPr>
    </w:p>
    <w:p w14:paraId="542AEB80"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FAFA7CA" wp14:editId="40C4ED5D">
            <wp:extent cx="3911600" cy="2435860"/>
            <wp:effectExtent l="0" t="0" r="1270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D995EA7" w14:textId="77777777" w:rsidR="0011664F" w:rsidRDefault="00000000">
      <w:pPr>
        <w:spacing w:line="360" w:lineRule="auto"/>
        <w:jc w:val="both"/>
        <w:rPr>
          <w:rFonts w:ascii="Times New Roman" w:hAnsi="Times New Roman" w:cs="Times New Roman"/>
          <w:sz w:val="24"/>
          <w:szCs w:val="24"/>
        </w:rPr>
      </w:pPr>
      <w:r>
        <w:rPr>
          <w:rFonts w:ascii="Times New Roman" w:eastAsia="Times New Roman" w:hAnsi="Times New Roman" w:cs="Times New Roman"/>
          <w:color w:val="222222"/>
          <w:sz w:val="24"/>
          <w:szCs w:val="24"/>
          <w:lang w:eastAsia="en-GB"/>
        </w:rPr>
        <w:t xml:space="preserve">The graphs above highlight that every year large portion of amount invested in DHAKA division. This rate is above 70%. Above 19% amount invested in Chittagong division. The lowest amount of money invested in </w:t>
      </w:r>
      <w:proofErr w:type="spellStart"/>
      <w:r>
        <w:rPr>
          <w:rFonts w:ascii="Times New Roman" w:eastAsia="Times New Roman" w:hAnsi="Times New Roman" w:cs="Times New Roman"/>
          <w:color w:val="222222"/>
          <w:sz w:val="24"/>
          <w:szCs w:val="24"/>
          <w:lang w:eastAsia="en-GB"/>
        </w:rPr>
        <w:t>Barishal</w:t>
      </w:r>
      <w:proofErr w:type="spellEnd"/>
      <w:r>
        <w:rPr>
          <w:rFonts w:ascii="Times New Roman" w:eastAsia="Times New Roman" w:hAnsi="Times New Roman" w:cs="Times New Roman"/>
          <w:color w:val="222222"/>
          <w:sz w:val="24"/>
          <w:szCs w:val="24"/>
          <w:lang w:eastAsia="en-GB"/>
        </w:rPr>
        <w:t xml:space="preserve"> division below 1% of total investment.</w:t>
      </w:r>
    </w:p>
    <w:p w14:paraId="3BF7FA1A" w14:textId="77777777" w:rsidR="0011664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Source: Annual Financial Statement (2019-2023)</w:t>
      </w:r>
    </w:p>
    <w:p w14:paraId="3342940F" w14:textId="77777777" w:rsidR="0011664F" w:rsidRDefault="0011664F">
      <w:pPr>
        <w:spacing w:line="360" w:lineRule="auto"/>
        <w:jc w:val="both"/>
        <w:rPr>
          <w:rFonts w:ascii="Times New Roman" w:hAnsi="Times New Roman" w:cs="Times New Roman"/>
          <w:sz w:val="24"/>
          <w:szCs w:val="24"/>
        </w:rPr>
      </w:pPr>
    </w:p>
    <w:p w14:paraId="1C36CA69" w14:textId="77777777" w:rsidR="0011664F" w:rsidRDefault="0011664F">
      <w:pPr>
        <w:spacing w:line="360" w:lineRule="auto"/>
        <w:jc w:val="both"/>
        <w:rPr>
          <w:rFonts w:ascii="Times New Roman" w:hAnsi="Times New Roman" w:cs="Times New Roman"/>
          <w:sz w:val="24"/>
          <w:szCs w:val="24"/>
        </w:rPr>
      </w:pPr>
    </w:p>
    <w:p w14:paraId="0203131C" w14:textId="77777777" w:rsidR="0011664F" w:rsidRDefault="0011664F">
      <w:pPr>
        <w:spacing w:line="360" w:lineRule="auto"/>
        <w:jc w:val="both"/>
        <w:rPr>
          <w:rFonts w:ascii="Times New Roman" w:hAnsi="Times New Roman" w:cs="Times New Roman"/>
          <w:sz w:val="24"/>
          <w:szCs w:val="24"/>
        </w:rPr>
      </w:pPr>
    </w:p>
    <w:p w14:paraId="4B00C9BA" w14:textId="77777777" w:rsidR="0011664F" w:rsidRDefault="0011664F">
      <w:pPr>
        <w:spacing w:line="360" w:lineRule="auto"/>
        <w:jc w:val="both"/>
        <w:rPr>
          <w:rFonts w:ascii="Times New Roman" w:hAnsi="Times New Roman" w:cs="Times New Roman"/>
          <w:sz w:val="24"/>
          <w:szCs w:val="24"/>
        </w:rPr>
      </w:pPr>
    </w:p>
    <w:p w14:paraId="7847B305" w14:textId="417299C8" w:rsidR="0011664F" w:rsidRDefault="00000000">
      <w:pPr>
        <w:pStyle w:val="Heading2"/>
        <w:spacing w:line="360" w:lineRule="auto"/>
        <w:rPr>
          <w:rFonts w:ascii="Times New Roman" w:eastAsia="Times New Roman" w:hAnsi="Times New Roman" w:cs="Times New Roman"/>
          <w:color w:val="000000" w:themeColor="text1"/>
          <w:sz w:val="24"/>
          <w:szCs w:val="24"/>
          <w:lang w:eastAsia="en-GB"/>
        </w:rPr>
      </w:pPr>
      <w:bookmarkStart w:id="17" w:name="_Toc175688693"/>
      <w:proofErr w:type="gramStart"/>
      <w:r>
        <w:rPr>
          <w:rFonts w:ascii="Times New Roman" w:hAnsi="Times New Roman" w:cs="Times New Roman"/>
          <w:color w:val="000000" w:themeColor="text1"/>
          <w:sz w:val="24"/>
          <w:szCs w:val="24"/>
        </w:rPr>
        <w:t>4.</w:t>
      </w:r>
      <w:r w:rsidR="00C64338">
        <w:rPr>
          <w:rFonts w:ascii="Times New Roman" w:hAnsi="Times New Roman" w:cs="Times New Roman"/>
          <w:color w:val="000000" w:themeColor="text1"/>
          <w:sz w:val="24"/>
          <w:szCs w:val="24"/>
        </w:rPr>
        <w:t xml:space="preserve">4 </w:t>
      </w:r>
      <w:r>
        <w:rPr>
          <w:rFonts w:ascii="Times New Roman" w:hAnsi="Times New Roman" w:cs="Times New Roman"/>
          <w:color w:val="000000" w:themeColor="text1"/>
          <w:sz w:val="24"/>
          <w:szCs w:val="24"/>
        </w:rPr>
        <w:t xml:space="preserve"> </w:t>
      </w:r>
      <w:r w:rsidR="00C64338">
        <w:rPr>
          <w:rFonts w:ascii="Times New Roman" w:hAnsi="Times New Roman" w:cs="Times New Roman"/>
          <w:color w:val="000000" w:themeColor="text1"/>
          <w:sz w:val="24"/>
          <w:szCs w:val="24"/>
        </w:rPr>
        <w:t>Amo</w:t>
      </w:r>
      <w:r>
        <w:rPr>
          <w:rFonts w:ascii="Times New Roman" w:hAnsi="Times New Roman" w:cs="Times New Roman"/>
          <w:color w:val="000000" w:themeColor="text1"/>
          <w:sz w:val="24"/>
          <w:szCs w:val="24"/>
        </w:rPr>
        <w:t>unt</w:t>
      </w:r>
      <w:proofErr w:type="gramEnd"/>
      <w:r>
        <w:rPr>
          <w:rFonts w:ascii="Times New Roman" w:hAnsi="Times New Roman" w:cs="Times New Roman"/>
          <w:color w:val="000000" w:themeColor="text1"/>
          <w:sz w:val="24"/>
          <w:szCs w:val="24"/>
        </w:rPr>
        <w:t xml:space="preserve"> of profit for different modes from 2019-2023</w:t>
      </w:r>
      <w:bookmarkEnd w:id="17"/>
    </w:p>
    <w:p w14:paraId="71ABBE79" w14:textId="77777777" w:rsidR="0011664F" w:rsidRDefault="0011664F">
      <w:pPr>
        <w:spacing w:line="360" w:lineRule="auto"/>
        <w:jc w:val="both"/>
        <w:rPr>
          <w:rFonts w:ascii="Times New Roman" w:hAnsi="Times New Roman" w:cs="Times New Roman"/>
          <w:b/>
          <w:bCs/>
          <w:sz w:val="24"/>
          <w:szCs w:val="24"/>
        </w:rPr>
      </w:pPr>
    </w:p>
    <w:tbl>
      <w:tblPr>
        <w:tblW w:w="7100" w:type="dxa"/>
        <w:tblLook w:val="04A0" w:firstRow="1" w:lastRow="0" w:firstColumn="1" w:lastColumn="0" w:noHBand="0" w:noVBand="1"/>
      </w:tblPr>
      <w:tblGrid>
        <w:gridCol w:w="1520"/>
        <w:gridCol w:w="1116"/>
        <w:gridCol w:w="1116"/>
        <w:gridCol w:w="1116"/>
        <w:gridCol w:w="1116"/>
        <w:gridCol w:w="1116"/>
      </w:tblGrid>
      <w:tr w:rsidR="0011664F" w14:paraId="62053935" w14:textId="77777777">
        <w:trPr>
          <w:trHeight w:val="300"/>
        </w:trPr>
        <w:tc>
          <w:tcPr>
            <w:tcW w:w="7100"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14:paraId="64B72B4E"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Yearly amount of profit</w:t>
            </w:r>
          </w:p>
        </w:tc>
      </w:tr>
      <w:tr w:rsidR="0011664F" w14:paraId="0D4CD604" w14:textId="7777777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tcPr>
          <w:p w14:paraId="7D709957"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Mode</w:t>
            </w:r>
          </w:p>
        </w:tc>
        <w:tc>
          <w:tcPr>
            <w:tcW w:w="1116" w:type="dxa"/>
            <w:tcBorders>
              <w:top w:val="nil"/>
              <w:left w:val="nil"/>
              <w:bottom w:val="single" w:sz="4" w:space="0" w:color="auto"/>
              <w:right w:val="single" w:sz="4" w:space="0" w:color="auto"/>
            </w:tcBorders>
            <w:shd w:val="clear" w:color="auto" w:fill="auto"/>
            <w:noWrap/>
            <w:vAlign w:val="bottom"/>
          </w:tcPr>
          <w:p w14:paraId="63B79ECE"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2019</w:t>
            </w:r>
          </w:p>
        </w:tc>
        <w:tc>
          <w:tcPr>
            <w:tcW w:w="1116" w:type="dxa"/>
            <w:tcBorders>
              <w:top w:val="nil"/>
              <w:left w:val="nil"/>
              <w:bottom w:val="single" w:sz="4" w:space="0" w:color="auto"/>
              <w:right w:val="single" w:sz="4" w:space="0" w:color="auto"/>
            </w:tcBorders>
            <w:shd w:val="clear" w:color="auto" w:fill="auto"/>
            <w:noWrap/>
            <w:vAlign w:val="bottom"/>
          </w:tcPr>
          <w:p w14:paraId="16543CF3"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2020</w:t>
            </w:r>
          </w:p>
        </w:tc>
        <w:tc>
          <w:tcPr>
            <w:tcW w:w="1116" w:type="dxa"/>
            <w:tcBorders>
              <w:top w:val="nil"/>
              <w:left w:val="nil"/>
              <w:bottom w:val="single" w:sz="4" w:space="0" w:color="auto"/>
              <w:right w:val="single" w:sz="4" w:space="0" w:color="auto"/>
            </w:tcBorders>
            <w:shd w:val="clear" w:color="auto" w:fill="auto"/>
            <w:noWrap/>
            <w:vAlign w:val="bottom"/>
          </w:tcPr>
          <w:p w14:paraId="38B2F046"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2021</w:t>
            </w:r>
          </w:p>
        </w:tc>
        <w:tc>
          <w:tcPr>
            <w:tcW w:w="1116" w:type="dxa"/>
            <w:tcBorders>
              <w:top w:val="nil"/>
              <w:left w:val="nil"/>
              <w:bottom w:val="single" w:sz="4" w:space="0" w:color="auto"/>
              <w:right w:val="single" w:sz="4" w:space="0" w:color="auto"/>
            </w:tcBorders>
            <w:shd w:val="clear" w:color="auto" w:fill="auto"/>
            <w:noWrap/>
            <w:vAlign w:val="bottom"/>
          </w:tcPr>
          <w:p w14:paraId="43B87789"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2022</w:t>
            </w:r>
          </w:p>
        </w:tc>
        <w:tc>
          <w:tcPr>
            <w:tcW w:w="1116" w:type="dxa"/>
            <w:tcBorders>
              <w:top w:val="nil"/>
              <w:left w:val="nil"/>
              <w:bottom w:val="single" w:sz="4" w:space="0" w:color="auto"/>
              <w:right w:val="single" w:sz="4" w:space="0" w:color="auto"/>
            </w:tcBorders>
            <w:shd w:val="clear" w:color="auto" w:fill="auto"/>
            <w:noWrap/>
            <w:vAlign w:val="bottom"/>
          </w:tcPr>
          <w:p w14:paraId="16CE8EE6"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2023</w:t>
            </w:r>
          </w:p>
        </w:tc>
      </w:tr>
      <w:tr w:rsidR="0011664F" w14:paraId="05F2B48A" w14:textId="7777777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tcPr>
          <w:p w14:paraId="57BAFD5E"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Musharaka</w:t>
            </w:r>
            <w:proofErr w:type="spellEnd"/>
          </w:p>
        </w:tc>
        <w:tc>
          <w:tcPr>
            <w:tcW w:w="1116" w:type="dxa"/>
            <w:tcBorders>
              <w:top w:val="nil"/>
              <w:left w:val="nil"/>
              <w:bottom w:val="single" w:sz="4" w:space="0" w:color="auto"/>
              <w:right w:val="single" w:sz="4" w:space="0" w:color="auto"/>
            </w:tcBorders>
            <w:shd w:val="clear" w:color="auto" w:fill="auto"/>
            <w:noWrap/>
            <w:vAlign w:val="bottom"/>
          </w:tcPr>
          <w:p w14:paraId="3B96D58B"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32.44</w:t>
            </w:r>
          </w:p>
        </w:tc>
        <w:tc>
          <w:tcPr>
            <w:tcW w:w="1116" w:type="dxa"/>
            <w:tcBorders>
              <w:top w:val="nil"/>
              <w:left w:val="nil"/>
              <w:bottom w:val="single" w:sz="4" w:space="0" w:color="auto"/>
              <w:right w:val="single" w:sz="4" w:space="0" w:color="auto"/>
            </w:tcBorders>
            <w:shd w:val="clear" w:color="auto" w:fill="auto"/>
            <w:noWrap/>
            <w:vAlign w:val="bottom"/>
          </w:tcPr>
          <w:p w14:paraId="248AF988"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21.53</w:t>
            </w:r>
          </w:p>
        </w:tc>
        <w:tc>
          <w:tcPr>
            <w:tcW w:w="1116" w:type="dxa"/>
            <w:tcBorders>
              <w:top w:val="nil"/>
              <w:left w:val="nil"/>
              <w:bottom w:val="single" w:sz="4" w:space="0" w:color="auto"/>
              <w:right w:val="single" w:sz="4" w:space="0" w:color="auto"/>
            </w:tcBorders>
            <w:shd w:val="clear" w:color="auto" w:fill="auto"/>
            <w:noWrap/>
            <w:vAlign w:val="bottom"/>
          </w:tcPr>
          <w:p w14:paraId="0293AD8D"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16.06</w:t>
            </w:r>
          </w:p>
        </w:tc>
        <w:tc>
          <w:tcPr>
            <w:tcW w:w="1116" w:type="dxa"/>
            <w:tcBorders>
              <w:top w:val="nil"/>
              <w:left w:val="nil"/>
              <w:bottom w:val="single" w:sz="4" w:space="0" w:color="auto"/>
              <w:right w:val="single" w:sz="4" w:space="0" w:color="auto"/>
            </w:tcBorders>
            <w:shd w:val="clear" w:color="auto" w:fill="auto"/>
            <w:noWrap/>
            <w:vAlign w:val="bottom"/>
          </w:tcPr>
          <w:p w14:paraId="7675B736"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14.46</w:t>
            </w:r>
          </w:p>
        </w:tc>
        <w:tc>
          <w:tcPr>
            <w:tcW w:w="1116" w:type="dxa"/>
            <w:tcBorders>
              <w:top w:val="nil"/>
              <w:left w:val="nil"/>
              <w:bottom w:val="single" w:sz="4" w:space="0" w:color="auto"/>
              <w:right w:val="single" w:sz="4" w:space="0" w:color="auto"/>
            </w:tcBorders>
            <w:shd w:val="clear" w:color="auto" w:fill="auto"/>
            <w:noWrap/>
            <w:vAlign w:val="bottom"/>
          </w:tcPr>
          <w:p w14:paraId="1D028D48"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0.9793</w:t>
            </w:r>
          </w:p>
        </w:tc>
      </w:tr>
      <w:tr w:rsidR="0011664F" w14:paraId="4A7E3CEC" w14:textId="7777777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tcPr>
          <w:p w14:paraId="4B04BA25"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Bai-Murabaha</w:t>
            </w:r>
          </w:p>
        </w:tc>
        <w:tc>
          <w:tcPr>
            <w:tcW w:w="1116" w:type="dxa"/>
            <w:tcBorders>
              <w:top w:val="nil"/>
              <w:left w:val="nil"/>
              <w:bottom w:val="single" w:sz="4" w:space="0" w:color="auto"/>
              <w:right w:val="single" w:sz="4" w:space="0" w:color="auto"/>
            </w:tcBorders>
            <w:shd w:val="clear" w:color="auto" w:fill="auto"/>
            <w:noWrap/>
            <w:vAlign w:val="bottom"/>
          </w:tcPr>
          <w:p w14:paraId="0F65F722"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206.04</w:t>
            </w:r>
          </w:p>
        </w:tc>
        <w:tc>
          <w:tcPr>
            <w:tcW w:w="1116" w:type="dxa"/>
            <w:tcBorders>
              <w:top w:val="nil"/>
              <w:left w:val="nil"/>
              <w:bottom w:val="single" w:sz="4" w:space="0" w:color="auto"/>
              <w:right w:val="single" w:sz="4" w:space="0" w:color="auto"/>
            </w:tcBorders>
            <w:shd w:val="clear" w:color="auto" w:fill="auto"/>
            <w:noWrap/>
            <w:vAlign w:val="bottom"/>
          </w:tcPr>
          <w:p w14:paraId="55C69716"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120.78</w:t>
            </w:r>
          </w:p>
        </w:tc>
        <w:tc>
          <w:tcPr>
            <w:tcW w:w="1116" w:type="dxa"/>
            <w:tcBorders>
              <w:top w:val="nil"/>
              <w:left w:val="nil"/>
              <w:bottom w:val="single" w:sz="4" w:space="0" w:color="auto"/>
              <w:right w:val="single" w:sz="4" w:space="0" w:color="auto"/>
            </w:tcBorders>
            <w:shd w:val="clear" w:color="auto" w:fill="auto"/>
            <w:noWrap/>
            <w:vAlign w:val="bottom"/>
          </w:tcPr>
          <w:p w14:paraId="3E9F08A0"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108.15</w:t>
            </w:r>
          </w:p>
        </w:tc>
        <w:tc>
          <w:tcPr>
            <w:tcW w:w="1116" w:type="dxa"/>
            <w:tcBorders>
              <w:top w:val="nil"/>
              <w:left w:val="nil"/>
              <w:bottom w:val="single" w:sz="4" w:space="0" w:color="auto"/>
              <w:right w:val="single" w:sz="4" w:space="0" w:color="auto"/>
            </w:tcBorders>
            <w:shd w:val="clear" w:color="auto" w:fill="auto"/>
            <w:noWrap/>
            <w:vAlign w:val="bottom"/>
          </w:tcPr>
          <w:p w14:paraId="761AAF99"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226.3</w:t>
            </w:r>
          </w:p>
        </w:tc>
        <w:tc>
          <w:tcPr>
            <w:tcW w:w="1116" w:type="dxa"/>
            <w:tcBorders>
              <w:top w:val="nil"/>
              <w:left w:val="nil"/>
              <w:bottom w:val="single" w:sz="4" w:space="0" w:color="auto"/>
              <w:right w:val="single" w:sz="4" w:space="0" w:color="auto"/>
            </w:tcBorders>
            <w:shd w:val="clear" w:color="auto" w:fill="auto"/>
            <w:noWrap/>
            <w:vAlign w:val="bottom"/>
          </w:tcPr>
          <w:p w14:paraId="78CF79BD"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260.02</w:t>
            </w:r>
          </w:p>
        </w:tc>
      </w:tr>
      <w:tr w:rsidR="0011664F" w14:paraId="6E1D66EA" w14:textId="7777777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tcPr>
          <w:p w14:paraId="67F40DE9"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Mudaraba</w:t>
            </w:r>
            <w:proofErr w:type="spellEnd"/>
          </w:p>
        </w:tc>
        <w:tc>
          <w:tcPr>
            <w:tcW w:w="1116" w:type="dxa"/>
            <w:tcBorders>
              <w:top w:val="nil"/>
              <w:left w:val="nil"/>
              <w:bottom w:val="single" w:sz="4" w:space="0" w:color="auto"/>
              <w:right w:val="single" w:sz="4" w:space="0" w:color="auto"/>
            </w:tcBorders>
            <w:shd w:val="clear" w:color="auto" w:fill="auto"/>
            <w:noWrap/>
            <w:vAlign w:val="bottom"/>
          </w:tcPr>
          <w:p w14:paraId="18C69E3B"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23.88</w:t>
            </w:r>
          </w:p>
        </w:tc>
        <w:tc>
          <w:tcPr>
            <w:tcW w:w="1116" w:type="dxa"/>
            <w:tcBorders>
              <w:top w:val="nil"/>
              <w:left w:val="nil"/>
              <w:bottom w:val="single" w:sz="4" w:space="0" w:color="auto"/>
              <w:right w:val="single" w:sz="4" w:space="0" w:color="auto"/>
            </w:tcBorders>
            <w:shd w:val="clear" w:color="auto" w:fill="auto"/>
            <w:noWrap/>
            <w:vAlign w:val="bottom"/>
          </w:tcPr>
          <w:p w14:paraId="16B0F735"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76.16</w:t>
            </w:r>
          </w:p>
        </w:tc>
        <w:tc>
          <w:tcPr>
            <w:tcW w:w="1116" w:type="dxa"/>
            <w:tcBorders>
              <w:top w:val="nil"/>
              <w:left w:val="nil"/>
              <w:bottom w:val="single" w:sz="4" w:space="0" w:color="auto"/>
              <w:right w:val="single" w:sz="4" w:space="0" w:color="auto"/>
            </w:tcBorders>
            <w:shd w:val="clear" w:color="auto" w:fill="auto"/>
            <w:noWrap/>
            <w:vAlign w:val="bottom"/>
          </w:tcPr>
          <w:p w14:paraId="1E086175"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40.43</w:t>
            </w:r>
          </w:p>
        </w:tc>
        <w:tc>
          <w:tcPr>
            <w:tcW w:w="1116" w:type="dxa"/>
            <w:tcBorders>
              <w:top w:val="nil"/>
              <w:left w:val="nil"/>
              <w:bottom w:val="single" w:sz="4" w:space="0" w:color="auto"/>
              <w:right w:val="single" w:sz="4" w:space="0" w:color="auto"/>
            </w:tcBorders>
            <w:shd w:val="clear" w:color="auto" w:fill="auto"/>
            <w:noWrap/>
            <w:vAlign w:val="bottom"/>
          </w:tcPr>
          <w:p w14:paraId="428F77A2"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260.75</w:t>
            </w:r>
          </w:p>
        </w:tc>
        <w:tc>
          <w:tcPr>
            <w:tcW w:w="1116" w:type="dxa"/>
            <w:tcBorders>
              <w:top w:val="nil"/>
              <w:left w:val="nil"/>
              <w:bottom w:val="single" w:sz="4" w:space="0" w:color="auto"/>
              <w:right w:val="single" w:sz="4" w:space="0" w:color="auto"/>
            </w:tcBorders>
            <w:shd w:val="clear" w:color="auto" w:fill="auto"/>
            <w:noWrap/>
            <w:vAlign w:val="bottom"/>
          </w:tcPr>
          <w:p w14:paraId="14ED4930"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213.08</w:t>
            </w:r>
          </w:p>
        </w:tc>
      </w:tr>
      <w:tr w:rsidR="0011664F" w14:paraId="42036BDC" w14:textId="7777777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tcPr>
          <w:p w14:paraId="79020CD9"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Bai-</w:t>
            </w:r>
            <w:proofErr w:type="spellStart"/>
            <w:r>
              <w:rPr>
                <w:rFonts w:ascii="Times New Roman" w:eastAsia="Times New Roman" w:hAnsi="Times New Roman" w:cs="Times New Roman"/>
                <w:color w:val="000000"/>
                <w:sz w:val="24"/>
                <w:szCs w:val="24"/>
                <w:lang w:eastAsia="en-GB"/>
              </w:rPr>
              <w:t>Muajjal</w:t>
            </w:r>
            <w:proofErr w:type="spellEnd"/>
          </w:p>
        </w:tc>
        <w:tc>
          <w:tcPr>
            <w:tcW w:w="1116" w:type="dxa"/>
            <w:tcBorders>
              <w:top w:val="nil"/>
              <w:left w:val="nil"/>
              <w:bottom w:val="single" w:sz="4" w:space="0" w:color="auto"/>
              <w:right w:val="single" w:sz="4" w:space="0" w:color="auto"/>
            </w:tcBorders>
            <w:shd w:val="clear" w:color="auto" w:fill="auto"/>
            <w:noWrap/>
            <w:vAlign w:val="bottom"/>
          </w:tcPr>
          <w:p w14:paraId="5EB3EC1F"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18263.67</w:t>
            </w:r>
          </w:p>
        </w:tc>
        <w:tc>
          <w:tcPr>
            <w:tcW w:w="1116" w:type="dxa"/>
            <w:tcBorders>
              <w:top w:val="nil"/>
              <w:left w:val="nil"/>
              <w:bottom w:val="single" w:sz="4" w:space="0" w:color="auto"/>
              <w:right w:val="single" w:sz="4" w:space="0" w:color="auto"/>
            </w:tcBorders>
            <w:shd w:val="clear" w:color="auto" w:fill="auto"/>
            <w:noWrap/>
            <w:vAlign w:val="bottom"/>
          </w:tcPr>
          <w:p w14:paraId="377654E0"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18174.06</w:t>
            </w:r>
          </w:p>
        </w:tc>
        <w:tc>
          <w:tcPr>
            <w:tcW w:w="1116" w:type="dxa"/>
            <w:tcBorders>
              <w:top w:val="nil"/>
              <w:left w:val="nil"/>
              <w:bottom w:val="single" w:sz="4" w:space="0" w:color="auto"/>
              <w:right w:val="single" w:sz="4" w:space="0" w:color="auto"/>
            </w:tcBorders>
            <w:shd w:val="clear" w:color="auto" w:fill="auto"/>
            <w:noWrap/>
            <w:vAlign w:val="bottom"/>
          </w:tcPr>
          <w:p w14:paraId="51A2F9A1"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16707.15</w:t>
            </w:r>
          </w:p>
        </w:tc>
        <w:tc>
          <w:tcPr>
            <w:tcW w:w="1116" w:type="dxa"/>
            <w:tcBorders>
              <w:top w:val="nil"/>
              <w:left w:val="nil"/>
              <w:bottom w:val="single" w:sz="4" w:space="0" w:color="auto"/>
              <w:right w:val="single" w:sz="4" w:space="0" w:color="auto"/>
            </w:tcBorders>
            <w:shd w:val="clear" w:color="auto" w:fill="auto"/>
            <w:noWrap/>
            <w:vAlign w:val="bottom"/>
          </w:tcPr>
          <w:p w14:paraId="744F70AC"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13744.97</w:t>
            </w:r>
          </w:p>
        </w:tc>
        <w:tc>
          <w:tcPr>
            <w:tcW w:w="1116" w:type="dxa"/>
            <w:tcBorders>
              <w:top w:val="nil"/>
              <w:left w:val="nil"/>
              <w:bottom w:val="single" w:sz="4" w:space="0" w:color="auto"/>
              <w:right w:val="single" w:sz="4" w:space="0" w:color="auto"/>
            </w:tcBorders>
            <w:shd w:val="clear" w:color="auto" w:fill="auto"/>
            <w:noWrap/>
            <w:vAlign w:val="bottom"/>
          </w:tcPr>
          <w:p w14:paraId="26A278DD"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16406.37</w:t>
            </w:r>
          </w:p>
        </w:tc>
      </w:tr>
      <w:tr w:rsidR="0011664F" w14:paraId="12586987" w14:textId="7777777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tcPr>
          <w:p w14:paraId="184DABE5"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Bai-Salam</w:t>
            </w:r>
          </w:p>
        </w:tc>
        <w:tc>
          <w:tcPr>
            <w:tcW w:w="1116" w:type="dxa"/>
            <w:tcBorders>
              <w:top w:val="nil"/>
              <w:left w:val="nil"/>
              <w:bottom w:val="single" w:sz="4" w:space="0" w:color="auto"/>
              <w:right w:val="single" w:sz="4" w:space="0" w:color="auto"/>
            </w:tcBorders>
            <w:shd w:val="clear" w:color="auto" w:fill="auto"/>
            <w:noWrap/>
            <w:vAlign w:val="bottom"/>
          </w:tcPr>
          <w:p w14:paraId="76C822EA"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83.03</w:t>
            </w:r>
          </w:p>
        </w:tc>
        <w:tc>
          <w:tcPr>
            <w:tcW w:w="1116" w:type="dxa"/>
            <w:tcBorders>
              <w:top w:val="nil"/>
              <w:left w:val="nil"/>
              <w:bottom w:val="single" w:sz="4" w:space="0" w:color="auto"/>
              <w:right w:val="single" w:sz="4" w:space="0" w:color="auto"/>
            </w:tcBorders>
            <w:shd w:val="clear" w:color="auto" w:fill="auto"/>
            <w:noWrap/>
            <w:vAlign w:val="bottom"/>
          </w:tcPr>
          <w:p w14:paraId="76F06A15"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86.42</w:t>
            </w:r>
          </w:p>
        </w:tc>
        <w:tc>
          <w:tcPr>
            <w:tcW w:w="1116" w:type="dxa"/>
            <w:tcBorders>
              <w:top w:val="nil"/>
              <w:left w:val="nil"/>
              <w:bottom w:val="single" w:sz="4" w:space="0" w:color="auto"/>
              <w:right w:val="single" w:sz="4" w:space="0" w:color="auto"/>
            </w:tcBorders>
            <w:shd w:val="clear" w:color="auto" w:fill="auto"/>
            <w:noWrap/>
            <w:vAlign w:val="bottom"/>
          </w:tcPr>
          <w:p w14:paraId="0022AA3C"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60.41</w:t>
            </w:r>
          </w:p>
        </w:tc>
        <w:tc>
          <w:tcPr>
            <w:tcW w:w="1116" w:type="dxa"/>
            <w:tcBorders>
              <w:top w:val="nil"/>
              <w:left w:val="nil"/>
              <w:bottom w:val="single" w:sz="4" w:space="0" w:color="auto"/>
              <w:right w:val="single" w:sz="4" w:space="0" w:color="auto"/>
            </w:tcBorders>
            <w:shd w:val="clear" w:color="auto" w:fill="auto"/>
            <w:noWrap/>
            <w:vAlign w:val="bottom"/>
          </w:tcPr>
          <w:p w14:paraId="4CE963FD"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71.62</w:t>
            </w:r>
          </w:p>
        </w:tc>
        <w:tc>
          <w:tcPr>
            <w:tcW w:w="1116" w:type="dxa"/>
            <w:tcBorders>
              <w:top w:val="nil"/>
              <w:left w:val="nil"/>
              <w:bottom w:val="single" w:sz="4" w:space="0" w:color="auto"/>
              <w:right w:val="single" w:sz="4" w:space="0" w:color="auto"/>
            </w:tcBorders>
            <w:shd w:val="clear" w:color="auto" w:fill="auto"/>
            <w:noWrap/>
            <w:vAlign w:val="bottom"/>
          </w:tcPr>
          <w:p w14:paraId="30ADB07D"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105.21</w:t>
            </w:r>
          </w:p>
        </w:tc>
      </w:tr>
      <w:tr w:rsidR="0011664F" w14:paraId="0FA9EE1C" w14:textId="7777777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tcPr>
          <w:p w14:paraId="64D529C5"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HPSM</w:t>
            </w:r>
          </w:p>
        </w:tc>
        <w:tc>
          <w:tcPr>
            <w:tcW w:w="1116" w:type="dxa"/>
            <w:tcBorders>
              <w:top w:val="nil"/>
              <w:left w:val="nil"/>
              <w:bottom w:val="single" w:sz="4" w:space="0" w:color="auto"/>
              <w:right w:val="single" w:sz="4" w:space="0" w:color="auto"/>
            </w:tcBorders>
            <w:shd w:val="clear" w:color="auto" w:fill="auto"/>
            <w:noWrap/>
            <w:vAlign w:val="bottom"/>
          </w:tcPr>
          <w:p w14:paraId="60B06094"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6379.69</w:t>
            </w:r>
          </w:p>
        </w:tc>
        <w:tc>
          <w:tcPr>
            <w:tcW w:w="1116" w:type="dxa"/>
            <w:tcBorders>
              <w:top w:val="nil"/>
              <w:left w:val="nil"/>
              <w:bottom w:val="single" w:sz="4" w:space="0" w:color="auto"/>
              <w:right w:val="single" w:sz="4" w:space="0" w:color="auto"/>
            </w:tcBorders>
            <w:shd w:val="clear" w:color="auto" w:fill="auto"/>
            <w:noWrap/>
            <w:vAlign w:val="bottom"/>
          </w:tcPr>
          <w:p w14:paraId="6975EAD3"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5563.99</w:t>
            </w:r>
          </w:p>
        </w:tc>
        <w:tc>
          <w:tcPr>
            <w:tcW w:w="1116" w:type="dxa"/>
            <w:tcBorders>
              <w:top w:val="nil"/>
              <w:left w:val="nil"/>
              <w:bottom w:val="single" w:sz="4" w:space="0" w:color="auto"/>
              <w:right w:val="single" w:sz="4" w:space="0" w:color="auto"/>
            </w:tcBorders>
            <w:shd w:val="clear" w:color="auto" w:fill="auto"/>
            <w:noWrap/>
            <w:vAlign w:val="bottom"/>
          </w:tcPr>
          <w:p w14:paraId="6BBE916B"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4410.78</w:t>
            </w:r>
          </w:p>
        </w:tc>
        <w:tc>
          <w:tcPr>
            <w:tcW w:w="1116" w:type="dxa"/>
            <w:tcBorders>
              <w:top w:val="nil"/>
              <w:left w:val="nil"/>
              <w:bottom w:val="single" w:sz="4" w:space="0" w:color="auto"/>
              <w:right w:val="single" w:sz="4" w:space="0" w:color="auto"/>
            </w:tcBorders>
            <w:shd w:val="clear" w:color="auto" w:fill="auto"/>
            <w:noWrap/>
            <w:vAlign w:val="bottom"/>
          </w:tcPr>
          <w:p w14:paraId="08DD9DE0"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4082.74</w:t>
            </w:r>
          </w:p>
        </w:tc>
        <w:tc>
          <w:tcPr>
            <w:tcW w:w="1116" w:type="dxa"/>
            <w:tcBorders>
              <w:top w:val="nil"/>
              <w:left w:val="nil"/>
              <w:bottom w:val="single" w:sz="4" w:space="0" w:color="auto"/>
              <w:right w:val="single" w:sz="4" w:space="0" w:color="auto"/>
            </w:tcBorders>
            <w:shd w:val="clear" w:color="auto" w:fill="auto"/>
            <w:noWrap/>
            <w:vAlign w:val="bottom"/>
          </w:tcPr>
          <w:p w14:paraId="38FE5259"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4646.76</w:t>
            </w:r>
          </w:p>
        </w:tc>
      </w:tr>
      <w:tr w:rsidR="0011664F" w14:paraId="04398666" w14:textId="7777777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tcPr>
          <w:p w14:paraId="0520707B"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Quard</w:t>
            </w:r>
            <w:proofErr w:type="spellEnd"/>
          </w:p>
        </w:tc>
        <w:tc>
          <w:tcPr>
            <w:tcW w:w="1116" w:type="dxa"/>
            <w:tcBorders>
              <w:top w:val="nil"/>
              <w:left w:val="nil"/>
              <w:bottom w:val="single" w:sz="4" w:space="0" w:color="auto"/>
              <w:right w:val="single" w:sz="4" w:space="0" w:color="auto"/>
            </w:tcBorders>
            <w:shd w:val="clear" w:color="auto" w:fill="auto"/>
            <w:noWrap/>
            <w:vAlign w:val="bottom"/>
          </w:tcPr>
          <w:p w14:paraId="4887DD06"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532.99</w:t>
            </w:r>
          </w:p>
        </w:tc>
        <w:tc>
          <w:tcPr>
            <w:tcW w:w="1116" w:type="dxa"/>
            <w:tcBorders>
              <w:top w:val="nil"/>
              <w:left w:val="nil"/>
              <w:bottom w:val="single" w:sz="4" w:space="0" w:color="auto"/>
              <w:right w:val="single" w:sz="4" w:space="0" w:color="auto"/>
            </w:tcBorders>
            <w:shd w:val="clear" w:color="auto" w:fill="auto"/>
            <w:noWrap/>
            <w:vAlign w:val="bottom"/>
          </w:tcPr>
          <w:p w14:paraId="1F370DD1"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614.42</w:t>
            </w:r>
          </w:p>
        </w:tc>
        <w:tc>
          <w:tcPr>
            <w:tcW w:w="1116" w:type="dxa"/>
            <w:tcBorders>
              <w:top w:val="nil"/>
              <w:left w:val="nil"/>
              <w:bottom w:val="single" w:sz="4" w:space="0" w:color="auto"/>
              <w:right w:val="single" w:sz="4" w:space="0" w:color="auto"/>
            </w:tcBorders>
            <w:shd w:val="clear" w:color="auto" w:fill="auto"/>
            <w:noWrap/>
            <w:vAlign w:val="bottom"/>
          </w:tcPr>
          <w:p w14:paraId="1E19CE37"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675.808</w:t>
            </w:r>
          </w:p>
        </w:tc>
        <w:tc>
          <w:tcPr>
            <w:tcW w:w="1116" w:type="dxa"/>
            <w:tcBorders>
              <w:top w:val="nil"/>
              <w:left w:val="nil"/>
              <w:bottom w:val="single" w:sz="4" w:space="0" w:color="auto"/>
              <w:right w:val="single" w:sz="4" w:space="0" w:color="auto"/>
            </w:tcBorders>
            <w:shd w:val="clear" w:color="auto" w:fill="auto"/>
            <w:noWrap/>
            <w:vAlign w:val="bottom"/>
          </w:tcPr>
          <w:p w14:paraId="5F08CBCD"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747.57</w:t>
            </w:r>
          </w:p>
        </w:tc>
        <w:tc>
          <w:tcPr>
            <w:tcW w:w="1116" w:type="dxa"/>
            <w:tcBorders>
              <w:top w:val="nil"/>
              <w:left w:val="nil"/>
              <w:bottom w:val="single" w:sz="4" w:space="0" w:color="auto"/>
              <w:right w:val="single" w:sz="4" w:space="0" w:color="auto"/>
            </w:tcBorders>
            <w:shd w:val="clear" w:color="auto" w:fill="auto"/>
            <w:noWrap/>
            <w:vAlign w:val="bottom"/>
          </w:tcPr>
          <w:p w14:paraId="6F7F5DAC"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792.95</w:t>
            </w:r>
          </w:p>
        </w:tc>
      </w:tr>
      <w:tr w:rsidR="0011664F" w14:paraId="1D7D4489" w14:textId="7777777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tcPr>
          <w:p w14:paraId="2DE5B4B9"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Ijara</w:t>
            </w:r>
            <w:proofErr w:type="spellEnd"/>
          </w:p>
        </w:tc>
        <w:tc>
          <w:tcPr>
            <w:tcW w:w="1116" w:type="dxa"/>
            <w:tcBorders>
              <w:top w:val="nil"/>
              <w:left w:val="nil"/>
              <w:bottom w:val="single" w:sz="4" w:space="0" w:color="auto"/>
              <w:right w:val="single" w:sz="4" w:space="0" w:color="auto"/>
            </w:tcBorders>
            <w:shd w:val="clear" w:color="auto" w:fill="auto"/>
            <w:noWrap/>
            <w:vAlign w:val="bottom"/>
          </w:tcPr>
          <w:p w14:paraId="6052E37D"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79.42</w:t>
            </w:r>
          </w:p>
        </w:tc>
        <w:tc>
          <w:tcPr>
            <w:tcW w:w="1116" w:type="dxa"/>
            <w:tcBorders>
              <w:top w:val="nil"/>
              <w:left w:val="nil"/>
              <w:bottom w:val="single" w:sz="4" w:space="0" w:color="auto"/>
              <w:right w:val="single" w:sz="4" w:space="0" w:color="auto"/>
            </w:tcBorders>
            <w:shd w:val="clear" w:color="auto" w:fill="auto"/>
            <w:noWrap/>
            <w:vAlign w:val="bottom"/>
          </w:tcPr>
          <w:p w14:paraId="66EE1AC9"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62.37</w:t>
            </w:r>
          </w:p>
        </w:tc>
        <w:tc>
          <w:tcPr>
            <w:tcW w:w="1116" w:type="dxa"/>
            <w:tcBorders>
              <w:top w:val="nil"/>
              <w:left w:val="nil"/>
              <w:bottom w:val="single" w:sz="4" w:space="0" w:color="auto"/>
              <w:right w:val="single" w:sz="4" w:space="0" w:color="auto"/>
            </w:tcBorders>
            <w:shd w:val="clear" w:color="auto" w:fill="auto"/>
            <w:noWrap/>
            <w:vAlign w:val="bottom"/>
          </w:tcPr>
          <w:p w14:paraId="57866BD5"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43.89</w:t>
            </w:r>
          </w:p>
        </w:tc>
        <w:tc>
          <w:tcPr>
            <w:tcW w:w="1116" w:type="dxa"/>
            <w:tcBorders>
              <w:top w:val="nil"/>
              <w:left w:val="nil"/>
              <w:bottom w:val="single" w:sz="4" w:space="0" w:color="auto"/>
              <w:right w:val="single" w:sz="4" w:space="0" w:color="auto"/>
            </w:tcBorders>
            <w:shd w:val="clear" w:color="auto" w:fill="auto"/>
            <w:noWrap/>
            <w:vAlign w:val="bottom"/>
          </w:tcPr>
          <w:p w14:paraId="5AE3A9E9"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29.91</w:t>
            </w:r>
          </w:p>
        </w:tc>
        <w:tc>
          <w:tcPr>
            <w:tcW w:w="1116" w:type="dxa"/>
            <w:tcBorders>
              <w:top w:val="nil"/>
              <w:left w:val="nil"/>
              <w:bottom w:val="single" w:sz="4" w:space="0" w:color="auto"/>
              <w:right w:val="single" w:sz="4" w:space="0" w:color="auto"/>
            </w:tcBorders>
            <w:shd w:val="clear" w:color="auto" w:fill="auto"/>
            <w:noWrap/>
            <w:vAlign w:val="bottom"/>
          </w:tcPr>
          <w:p w14:paraId="6AFA402F"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33.15</w:t>
            </w:r>
          </w:p>
        </w:tc>
      </w:tr>
      <w:tr w:rsidR="0011664F" w14:paraId="661119DF" w14:textId="7777777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tcPr>
          <w:p w14:paraId="69BB002D"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Visa card</w:t>
            </w:r>
          </w:p>
        </w:tc>
        <w:tc>
          <w:tcPr>
            <w:tcW w:w="1116" w:type="dxa"/>
            <w:tcBorders>
              <w:top w:val="nil"/>
              <w:left w:val="nil"/>
              <w:bottom w:val="single" w:sz="4" w:space="0" w:color="auto"/>
              <w:right w:val="single" w:sz="4" w:space="0" w:color="auto"/>
            </w:tcBorders>
            <w:shd w:val="clear" w:color="auto" w:fill="auto"/>
            <w:noWrap/>
            <w:vAlign w:val="bottom"/>
          </w:tcPr>
          <w:p w14:paraId="4602B855"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213.65</w:t>
            </w:r>
          </w:p>
        </w:tc>
        <w:tc>
          <w:tcPr>
            <w:tcW w:w="1116" w:type="dxa"/>
            <w:tcBorders>
              <w:top w:val="nil"/>
              <w:left w:val="nil"/>
              <w:bottom w:val="single" w:sz="4" w:space="0" w:color="auto"/>
              <w:right w:val="single" w:sz="4" w:space="0" w:color="auto"/>
            </w:tcBorders>
            <w:shd w:val="clear" w:color="auto" w:fill="auto"/>
            <w:noWrap/>
            <w:vAlign w:val="bottom"/>
          </w:tcPr>
          <w:p w14:paraId="716663A0"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208.44</w:t>
            </w:r>
          </w:p>
        </w:tc>
        <w:tc>
          <w:tcPr>
            <w:tcW w:w="1116" w:type="dxa"/>
            <w:tcBorders>
              <w:top w:val="nil"/>
              <w:left w:val="nil"/>
              <w:bottom w:val="single" w:sz="4" w:space="0" w:color="auto"/>
              <w:right w:val="single" w:sz="4" w:space="0" w:color="auto"/>
            </w:tcBorders>
            <w:shd w:val="clear" w:color="auto" w:fill="auto"/>
            <w:noWrap/>
            <w:vAlign w:val="bottom"/>
          </w:tcPr>
          <w:p w14:paraId="0008EDA9"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205.76</w:t>
            </w:r>
          </w:p>
        </w:tc>
        <w:tc>
          <w:tcPr>
            <w:tcW w:w="1116" w:type="dxa"/>
            <w:tcBorders>
              <w:top w:val="nil"/>
              <w:left w:val="nil"/>
              <w:bottom w:val="single" w:sz="4" w:space="0" w:color="auto"/>
              <w:right w:val="single" w:sz="4" w:space="0" w:color="auto"/>
            </w:tcBorders>
            <w:shd w:val="clear" w:color="auto" w:fill="auto"/>
            <w:noWrap/>
            <w:vAlign w:val="bottom"/>
          </w:tcPr>
          <w:p w14:paraId="71921BAC"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270.8</w:t>
            </w:r>
          </w:p>
        </w:tc>
        <w:tc>
          <w:tcPr>
            <w:tcW w:w="1116" w:type="dxa"/>
            <w:tcBorders>
              <w:top w:val="nil"/>
              <w:left w:val="nil"/>
              <w:bottom w:val="single" w:sz="4" w:space="0" w:color="auto"/>
              <w:right w:val="single" w:sz="4" w:space="0" w:color="auto"/>
            </w:tcBorders>
            <w:shd w:val="clear" w:color="auto" w:fill="auto"/>
            <w:noWrap/>
            <w:vAlign w:val="bottom"/>
          </w:tcPr>
          <w:p w14:paraId="0D3C86EE"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442.38</w:t>
            </w:r>
          </w:p>
        </w:tc>
      </w:tr>
      <w:tr w:rsidR="0011664F" w14:paraId="6D68DBCA" w14:textId="7777777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tcPr>
          <w:p w14:paraId="391A6FCE"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Others</w:t>
            </w:r>
          </w:p>
        </w:tc>
        <w:tc>
          <w:tcPr>
            <w:tcW w:w="1116" w:type="dxa"/>
            <w:tcBorders>
              <w:top w:val="nil"/>
              <w:left w:val="nil"/>
              <w:bottom w:val="single" w:sz="4" w:space="0" w:color="auto"/>
              <w:right w:val="single" w:sz="4" w:space="0" w:color="auto"/>
            </w:tcBorders>
            <w:shd w:val="clear" w:color="auto" w:fill="auto"/>
            <w:noWrap/>
            <w:vAlign w:val="bottom"/>
          </w:tcPr>
          <w:p w14:paraId="46400BFA"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1982.61</w:t>
            </w:r>
          </w:p>
        </w:tc>
        <w:tc>
          <w:tcPr>
            <w:tcW w:w="1116" w:type="dxa"/>
            <w:tcBorders>
              <w:top w:val="nil"/>
              <w:left w:val="nil"/>
              <w:bottom w:val="single" w:sz="4" w:space="0" w:color="auto"/>
              <w:right w:val="single" w:sz="4" w:space="0" w:color="auto"/>
            </w:tcBorders>
            <w:shd w:val="clear" w:color="auto" w:fill="auto"/>
            <w:noWrap/>
            <w:vAlign w:val="bottom"/>
          </w:tcPr>
          <w:p w14:paraId="22183D01"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27021.8</w:t>
            </w:r>
          </w:p>
        </w:tc>
        <w:tc>
          <w:tcPr>
            <w:tcW w:w="1116" w:type="dxa"/>
            <w:tcBorders>
              <w:top w:val="nil"/>
              <w:left w:val="nil"/>
              <w:bottom w:val="single" w:sz="4" w:space="0" w:color="auto"/>
              <w:right w:val="single" w:sz="4" w:space="0" w:color="auto"/>
            </w:tcBorders>
            <w:shd w:val="clear" w:color="auto" w:fill="auto"/>
            <w:noWrap/>
            <w:vAlign w:val="bottom"/>
          </w:tcPr>
          <w:p w14:paraId="16E91845"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1692.342</w:t>
            </w:r>
          </w:p>
        </w:tc>
        <w:tc>
          <w:tcPr>
            <w:tcW w:w="1116" w:type="dxa"/>
            <w:tcBorders>
              <w:top w:val="nil"/>
              <w:left w:val="nil"/>
              <w:bottom w:val="single" w:sz="4" w:space="0" w:color="auto"/>
              <w:right w:val="single" w:sz="4" w:space="0" w:color="auto"/>
            </w:tcBorders>
            <w:shd w:val="clear" w:color="auto" w:fill="auto"/>
            <w:noWrap/>
            <w:vAlign w:val="bottom"/>
          </w:tcPr>
          <w:p w14:paraId="0754DECB"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2194.67</w:t>
            </w:r>
          </w:p>
        </w:tc>
        <w:tc>
          <w:tcPr>
            <w:tcW w:w="1116" w:type="dxa"/>
            <w:tcBorders>
              <w:top w:val="nil"/>
              <w:left w:val="nil"/>
              <w:bottom w:val="single" w:sz="4" w:space="0" w:color="auto"/>
              <w:right w:val="single" w:sz="4" w:space="0" w:color="auto"/>
            </w:tcBorders>
            <w:shd w:val="clear" w:color="auto" w:fill="auto"/>
            <w:noWrap/>
            <w:vAlign w:val="bottom"/>
          </w:tcPr>
          <w:p w14:paraId="5DF3CF69"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2343.111</w:t>
            </w:r>
          </w:p>
        </w:tc>
      </w:tr>
      <w:tr w:rsidR="0011664F" w14:paraId="6AF4140D" w14:textId="7777777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tcPr>
          <w:p w14:paraId="6AC4BCC1"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Total</w:t>
            </w:r>
          </w:p>
        </w:tc>
        <w:tc>
          <w:tcPr>
            <w:tcW w:w="1116" w:type="dxa"/>
            <w:tcBorders>
              <w:top w:val="nil"/>
              <w:left w:val="nil"/>
              <w:bottom w:val="single" w:sz="4" w:space="0" w:color="auto"/>
              <w:right w:val="single" w:sz="4" w:space="0" w:color="auto"/>
            </w:tcBorders>
            <w:shd w:val="clear" w:color="auto" w:fill="auto"/>
            <w:noWrap/>
            <w:vAlign w:val="bottom"/>
          </w:tcPr>
          <w:p w14:paraId="188A395E"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27797.42</w:t>
            </w:r>
          </w:p>
        </w:tc>
        <w:tc>
          <w:tcPr>
            <w:tcW w:w="1116" w:type="dxa"/>
            <w:tcBorders>
              <w:top w:val="nil"/>
              <w:left w:val="nil"/>
              <w:bottom w:val="single" w:sz="4" w:space="0" w:color="auto"/>
              <w:right w:val="single" w:sz="4" w:space="0" w:color="auto"/>
            </w:tcBorders>
            <w:shd w:val="clear" w:color="auto" w:fill="auto"/>
            <w:noWrap/>
            <w:vAlign w:val="bottom"/>
          </w:tcPr>
          <w:p w14:paraId="09C78B5E"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27036.26</w:t>
            </w:r>
          </w:p>
        </w:tc>
        <w:tc>
          <w:tcPr>
            <w:tcW w:w="1116" w:type="dxa"/>
            <w:tcBorders>
              <w:top w:val="nil"/>
              <w:left w:val="nil"/>
              <w:bottom w:val="single" w:sz="4" w:space="0" w:color="auto"/>
              <w:right w:val="single" w:sz="4" w:space="0" w:color="auto"/>
            </w:tcBorders>
            <w:shd w:val="clear" w:color="auto" w:fill="auto"/>
            <w:noWrap/>
            <w:vAlign w:val="bottom"/>
          </w:tcPr>
          <w:p w14:paraId="473A3BD0"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23960.78</w:t>
            </w:r>
          </w:p>
        </w:tc>
        <w:tc>
          <w:tcPr>
            <w:tcW w:w="1116" w:type="dxa"/>
            <w:tcBorders>
              <w:top w:val="nil"/>
              <w:left w:val="nil"/>
              <w:bottom w:val="single" w:sz="4" w:space="0" w:color="auto"/>
              <w:right w:val="single" w:sz="4" w:space="0" w:color="auto"/>
            </w:tcBorders>
            <w:shd w:val="clear" w:color="auto" w:fill="auto"/>
            <w:noWrap/>
            <w:vAlign w:val="bottom"/>
          </w:tcPr>
          <w:p w14:paraId="201569EA"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21643.79</w:t>
            </w:r>
          </w:p>
        </w:tc>
        <w:tc>
          <w:tcPr>
            <w:tcW w:w="1116" w:type="dxa"/>
            <w:tcBorders>
              <w:top w:val="nil"/>
              <w:left w:val="nil"/>
              <w:bottom w:val="single" w:sz="4" w:space="0" w:color="auto"/>
              <w:right w:val="single" w:sz="4" w:space="0" w:color="auto"/>
            </w:tcBorders>
            <w:shd w:val="clear" w:color="auto" w:fill="auto"/>
            <w:noWrap/>
            <w:vAlign w:val="bottom"/>
          </w:tcPr>
          <w:p w14:paraId="708CF731" w14:textId="77777777" w:rsidR="0011664F"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25244.01</w:t>
            </w:r>
          </w:p>
        </w:tc>
      </w:tr>
    </w:tbl>
    <w:p w14:paraId="30B21D4D" w14:textId="77777777" w:rsidR="0011664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Source: Annual Financial Statement (2019-2023)</w:t>
      </w:r>
    </w:p>
    <w:p w14:paraId="3C1AE013" w14:textId="77777777" w:rsidR="0011664F" w:rsidRDefault="0011664F">
      <w:pPr>
        <w:spacing w:line="360" w:lineRule="auto"/>
        <w:jc w:val="both"/>
        <w:rPr>
          <w:rFonts w:ascii="Times New Roman" w:hAnsi="Times New Roman" w:cs="Times New Roman"/>
          <w:sz w:val="24"/>
          <w:szCs w:val="24"/>
        </w:rPr>
      </w:pPr>
    </w:p>
    <w:p w14:paraId="6E130F38"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67267AC3" wp14:editId="4A408A25">
            <wp:extent cx="5476875" cy="3343275"/>
            <wp:effectExtent l="1905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3BBAC5" w14:textId="77777777" w:rsidR="0011664F" w:rsidRDefault="00000000">
      <w:pPr>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trends in investment modes at SIBPLC from 2019 to 2023 reveal varying levels of profitability and performance. The declining investment in </w:t>
      </w:r>
      <w:proofErr w:type="spellStart"/>
      <w:r>
        <w:rPr>
          <w:rFonts w:ascii="Times New Roman" w:eastAsia="Times New Roman" w:hAnsi="Times New Roman" w:cs="Times New Roman"/>
          <w:sz w:val="24"/>
          <w:szCs w:val="24"/>
          <w:lang w:val="en-US"/>
        </w:rPr>
        <w:t>Musharaka</w:t>
      </w:r>
      <w:proofErr w:type="spellEnd"/>
      <w:r>
        <w:rPr>
          <w:rFonts w:ascii="Times New Roman" w:eastAsia="Times New Roman" w:hAnsi="Times New Roman" w:cs="Times New Roman"/>
          <w:sz w:val="24"/>
          <w:szCs w:val="24"/>
          <w:lang w:val="en-US"/>
        </w:rPr>
        <w:t xml:space="preserve"> has led to decreasing profits each year from 2019 to 2023, indicating that this mode has become a negative profit-earning avenue for the bank. The percentage share of profit in Bai-Murabaha has fluctuated over the past five years, mirroring the instability in its investment amounts. This suggests that Bai-Murabaha’s profitability is inconsistent and unpredictable. Despite fluctuations in investment in </w:t>
      </w:r>
      <w:proofErr w:type="spellStart"/>
      <w:r>
        <w:rPr>
          <w:rFonts w:ascii="Times New Roman" w:eastAsia="Times New Roman" w:hAnsi="Times New Roman" w:cs="Times New Roman"/>
          <w:sz w:val="24"/>
          <w:szCs w:val="24"/>
          <w:lang w:val="en-US"/>
        </w:rPr>
        <w:t>Mudaraba</w:t>
      </w:r>
      <w:proofErr w:type="spellEnd"/>
      <w:r>
        <w:rPr>
          <w:rFonts w:ascii="Times New Roman" w:eastAsia="Times New Roman" w:hAnsi="Times New Roman" w:cs="Times New Roman"/>
          <w:sz w:val="24"/>
          <w:szCs w:val="24"/>
          <w:lang w:val="en-US"/>
        </w:rPr>
        <w:t>, the share of profit has shown a sharp decline over the years, suggesting that the profitability of this investment mode is negative and diminishing over time. In contrast, Bai-</w:t>
      </w:r>
      <w:proofErr w:type="spellStart"/>
      <w:r>
        <w:rPr>
          <w:rFonts w:ascii="Times New Roman" w:eastAsia="Times New Roman" w:hAnsi="Times New Roman" w:cs="Times New Roman"/>
          <w:sz w:val="24"/>
          <w:szCs w:val="24"/>
          <w:lang w:val="en-US"/>
        </w:rPr>
        <w:t>Muajjal</w:t>
      </w:r>
      <w:proofErr w:type="spellEnd"/>
      <w:r>
        <w:rPr>
          <w:rFonts w:ascii="Times New Roman" w:eastAsia="Times New Roman" w:hAnsi="Times New Roman" w:cs="Times New Roman"/>
          <w:sz w:val="24"/>
          <w:szCs w:val="24"/>
          <w:lang w:val="en-US"/>
        </w:rPr>
        <w:t xml:space="preserve"> stands out as a highly profitable investment mode for SIBPLC. The amount of profit in Bai-</w:t>
      </w:r>
      <w:proofErr w:type="spellStart"/>
      <w:r>
        <w:rPr>
          <w:rFonts w:ascii="Times New Roman" w:eastAsia="Times New Roman" w:hAnsi="Times New Roman" w:cs="Times New Roman"/>
          <w:sz w:val="24"/>
          <w:szCs w:val="24"/>
          <w:lang w:val="en-US"/>
        </w:rPr>
        <w:t>Muajjal</w:t>
      </w:r>
      <w:proofErr w:type="spellEnd"/>
      <w:r>
        <w:rPr>
          <w:rFonts w:ascii="Times New Roman" w:eastAsia="Times New Roman" w:hAnsi="Times New Roman" w:cs="Times New Roman"/>
          <w:sz w:val="24"/>
          <w:szCs w:val="24"/>
          <w:lang w:val="en-US"/>
        </w:rPr>
        <w:t xml:space="preserve"> has been positive. This indicates that Bai-</w:t>
      </w:r>
      <w:proofErr w:type="spellStart"/>
      <w:r>
        <w:rPr>
          <w:rFonts w:ascii="Times New Roman" w:eastAsia="Times New Roman" w:hAnsi="Times New Roman" w:cs="Times New Roman"/>
          <w:sz w:val="24"/>
          <w:szCs w:val="24"/>
          <w:lang w:val="en-US"/>
        </w:rPr>
        <w:t>Muajjal</w:t>
      </w:r>
      <w:proofErr w:type="spellEnd"/>
      <w:r>
        <w:rPr>
          <w:rFonts w:ascii="Times New Roman" w:eastAsia="Times New Roman" w:hAnsi="Times New Roman" w:cs="Times New Roman"/>
          <w:sz w:val="24"/>
          <w:szCs w:val="24"/>
          <w:lang w:val="en-US"/>
        </w:rPr>
        <w:t xml:space="preserve"> is a high profit-making investment mode for the bank. The profit from HPSM increased from Tk.</w:t>
      </w:r>
      <w:r>
        <w:rPr>
          <w:rFonts w:ascii="Times New Roman" w:eastAsia="Times New Roman" w:hAnsi="Times New Roman" w:cs="Times New Roman"/>
          <w:color w:val="000000"/>
          <w:sz w:val="24"/>
          <w:szCs w:val="24"/>
          <w:lang w:eastAsia="en-GB"/>
        </w:rPr>
        <w:t xml:space="preserve"> 6379.69</w:t>
      </w:r>
      <w:r>
        <w:rPr>
          <w:rFonts w:ascii="Times New Roman" w:eastAsia="Times New Roman" w:hAnsi="Times New Roman" w:cs="Times New Roman"/>
          <w:sz w:val="24"/>
          <w:szCs w:val="24"/>
          <w:lang w:val="en-US"/>
        </w:rPr>
        <w:t xml:space="preserve"> million in 2019 to Tk.</w:t>
      </w:r>
      <w:r>
        <w:rPr>
          <w:rFonts w:ascii="Times New Roman" w:eastAsia="Times New Roman" w:hAnsi="Times New Roman" w:cs="Times New Roman"/>
          <w:color w:val="000000"/>
          <w:sz w:val="24"/>
          <w:szCs w:val="24"/>
          <w:lang w:eastAsia="en-GB"/>
        </w:rPr>
        <w:t xml:space="preserve"> 4646.76</w:t>
      </w:r>
      <w:r>
        <w:rPr>
          <w:rFonts w:ascii="Times New Roman" w:eastAsia="Times New Roman" w:hAnsi="Times New Roman" w:cs="Times New Roman"/>
          <w:sz w:val="24"/>
          <w:szCs w:val="24"/>
          <w:lang w:val="en-US"/>
        </w:rPr>
        <w:t xml:space="preserve">million in 2023. Both the amount and share of profit in </w:t>
      </w:r>
      <w:proofErr w:type="spellStart"/>
      <w:r>
        <w:rPr>
          <w:rFonts w:ascii="Times New Roman" w:eastAsia="Times New Roman" w:hAnsi="Times New Roman" w:cs="Times New Roman"/>
          <w:sz w:val="24"/>
          <w:szCs w:val="24"/>
          <w:lang w:val="en-US"/>
        </w:rPr>
        <w:t>Quard</w:t>
      </w:r>
      <w:proofErr w:type="spellEnd"/>
      <w:r>
        <w:rPr>
          <w:rFonts w:ascii="Times New Roman" w:eastAsia="Times New Roman" w:hAnsi="Times New Roman" w:cs="Times New Roman"/>
          <w:sz w:val="24"/>
          <w:szCs w:val="24"/>
          <w:lang w:val="en-US"/>
        </w:rPr>
        <w:t xml:space="preserve"> have decreased over the years, indicating a reduction in profitability despite an increase in investment. This mode appears to be becoming less profitable for the bank. Although the investment in Bai-Salam increased, profits showed a dip in 2023. However, over the last five years, there has been a modest overall increase in the share of profit. This mode of investment can be considered to have relatively stable profitability with some fluctuations. Overall, the bank’s profitability in various investment modes varies </w:t>
      </w:r>
      <w:r>
        <w:rPr>
          <w:rFonts w:ascii="Times New Roman" w:eastAsia="Times New Roman" w:hAnsi="Times New Roman" w:cs="Times New Roman"/>
          <w:sz w:val="24"/>
          <w:szCs w:val="24"/>
          <w:lang w:val="en-US"/>
        </w:rPr>
        <w:lastRenderedPageBreak/>
        <w:t>significantly, with some modes like Bai-</w:t>
      </w:r>
      <w:proofErr w:type="spellStart"/>
      <w:r>
        <w:rPr>
          <w:rFonts w:ascii="Times New Roman" w:eastAsia="Times New Roman" w:hAnsi="Times New Roman" w:cs="Times New Roman"/>
          <w:sz w:val="24"/>
          <w:szCs w:val="24"/>
          <w:lang w:val="en-US"/>
        </w:rPr>
        <w:t>Muajjal</w:t>
      </w:r>
      <w:proofErr w:type="spellEnd"/>
      <w:r>
        <w:rPr>
          <w:rFonts w:ascii="Times New Roman" w:eastAsia="Times New Roman" w:hAnsi="Times New Roman" w:cs="Times New Roman"/>
          <w:sz w:val="24"/>
          <w:szCs w:val="24"/>
          <w:lang w:val="en-US"/>
        </w:rPr>
        <w:t xml:space="preserve"> showing strong profit growth, while others like </w:t>
      </w:r>
      <w:proofErr w:type="spellStart"/>
      <w:r>
        <w:rPr>
          <w:rFonts w:ascii="Times New Roman" w:eastAsia="Times New Roman" w:hAnsi="Times New Roman" w:cs="Times New Roman"/>
          <w:sz w:val="24"/>
          <w:szCs w:val="24"/>
          <w:lang w:val="en-US"/>
        </w:rPr>
        <w:t>Musharaka</w:t>
      </w:r>
      <w:proofErr w:type="spellEnd"/>
      <w:r>
        <w:rPr>
          <w:rFonts w:ascii="Times New Roman" w:eastAsia="Times New Roman" w:hAnsi="Times New Roman" w:cs="Times New Roman"/>
          <w:sz w:val="24"/>
          <w:szCs w:val="24"/>
          <w:lang w:val="en-US"/>
        </w:rPr>
        <w:t xml:space="preserve"> and </w:t>
      </w:r>
      <w:proofErr w:type="spellStart"/>
      <w:r>
        <w:rPr>
          <w:rFonts w:ascii="Times New Roman" w:eastAsia="Times New Roman" w:hAnsi="Times New Roman" w:cs="Times New Roman"/>
          <w:sz w:val="24"/>
          <w:szCs w:val="24"/>
          <w:lang w:val="en-US"/>
        </w:rPr>
        <w:t>Quard</w:t>
      </w:r>
      <w:proofErr w:type="spellEnd"/>
      <w:r>
        <w:rPr>
          <w:rFonts w:ascii="Times New Roman" w:eastAsia="Times New Roman" w:hAnsi="Times New Roman" w:cs="Times New Roman"/>
          <w:sz w:val="24"/>
          <w:szCs w:val="24"/>
          <w:lang w:val="en-US"/>
        </w:rPr>
        <w:t xml:space="preserve"> reflect decreasing profitability. This suggests the need for a strategic focus on optimizing investment allocations to maximize returns.</w:t>
      </w:r>
    </w:p>
    <w:p w14:paraId="5B4589F4"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C8DC862" wp14:editId="564D2740">
            <wp:extent cx="4895850" cy="2743200"/>
            <wp:effectExtent l="19050" t="0" r="19050" b="0"/>
            <wp:docPr id="1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CA4E34" w14:textId="77777777" w:rsidR="0011664F" w:rsidRDefault="0011664F">
      <w:pPr>
        <w:spacing w:line="360" w:lineRule="auto"/>
        <w:jc w:val="both"/>
        <w:rPr>
          <w:rFonts w:ascii="Times New Roman" w:hAnsi="Times New Roman" w:cs="Times New Roman"/>
          <w:sz w:val="24"/>
          <w:szCs w:val="24"/>
        </w:rPr>
      </w:pPr>
    </w:p>
    <w:p w14:paraId="0D26DE56" w14:textId="77777777" w:rsidR="0011664F" w:rsidRDefault="00000000">
      <w:pPr>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graph indicates that a large portion of classified investments falls into the category of bad or loss investments, suggesting a significant challenge for the bank. The </w:t>
      </w:r>
      <w:proofErr w:type="gramStart"/>
      <w:r>
        <w:rPr>
          <w:rFonts w:ascii="Times New Roman" w:eastAsia="Times New Roman" w:hAnsi="Times New Roman" w:cs="Times New Roman"/>
          <w:sz w:val="24"/>
          <w:szCs w:val="24"/>
          <w:lang w:val="en-US"/>
        </w:rPr>
        <w:t>amount</w:t>
      </w:r>
      <w:proofErr w:type="gramEnd"/>
      <w:r>
        <w:rPr>
          <w:rFonts w:ascii="Times New Roman" w:eastAsia="Times New Roman" w:hAnsi="Times New Roman" w:cs="Times New Roman"/>
          <w:sz w:val="24"/>
          <w:szCs w:val="24"/>
          <w:lang w:val="en-US"/>
        </w:rPr>
        <w:t xml:space="preserve"> of sub-standard investments has been increasing, pointing to growing concerns in this area. Although doubtful investments were at their peak in 2020 and have decreased in 2021 since then, the level of bad or loss investments has remained consistently high without any notable improvement. This substantial increase suggests inefficiencies in investment management, highlighting the need for better strategies and controls to mitigate risks and improve overall investment quality.</w:t>
      </w:r>
    </w:p>
    <w:p w14:paraId="272C3A9F" w14:textId="77777777" w:rsidR="0011664F" w:rsidRDefault="0011664F">
      <w:pPr>
        <w:shd w:val="clear" w:color="auto" w:fill="FFFFFF"/>
        <w:spacing w:before="100" w:beforeAutospacing="1" w:after="120" w:line="360" w:lineRule="auto"/>
        <w:jc w:val="both"/>
        <w:rPr>
          <w:rFonts w:ascii="Times New Roman" w:hAnsi="Times New Roman" w:cs="Times New Roman"/>
          <w:sz w:val="24"/>
          <w:szCs w:val="24"/>
        </w:rPr>
      </w:pPr>
    </w:p>
    <w:p w14:paraId="66D1B422" w14:textId="77777777" w:rsidR="0011664F" w:rsidRDefault="00000000">
      <w:pPr>
        <w:shd w:val="clear" w:color="auto" w:fill="FFFFFF"/>
        <w:spacing w:before="100" w:beforeAutospacing="1" w:after="120" w:line="360" w:lineRule="auto"/>
        <w:jc w:val="both"/>
        <w:rPr>
          <w:rFonts w:ascii="Times New Roman" w:hAnsi="Times New Roman" w:cs="Times New Roman"/>
          <w:b/>
          <w:bCs/>
          <w:sz w:val="24"/>
          <w:szCs w:val="24"/>
        </w:rPr>
      </w:pPr>
      <w:bookmarkStart w:id="18" w:name="_Hlk176028316"/>
      <w:r>
        <w:rPr>
          <w:rFonts w:ascii="Times New Roman" w:hAnsi="Times New Roman" w:cs="Times New Roman"/>
          <w:b/>
          <w:bCs/>
          <w:sz w:val="24"/>
          <w:szCs w:val="24"/>
        </w:rPr>
        <w:t>Regression Analysis</w:t>
      </w:r>
    </w:p>
    <w:bookmarkEnd w:id="18"/>
    <w:p w14:paraId="15F87C68"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Wooldridge test for autocorrelation in panel data</w:t>
      </w:r>
      <w:r>
        <w:rPr>
          <w:rFonts w:ascii="Times New Roman" w:hAnsi="Times New Roman" w:cs="Times New Roman"/>
          <w:color w:val="000000" w:themeColor="text1"/>
          <w:sz w:val="24"/>
          <w:szCs w:val="24"/>
        </w:rPr>
        <w:br/>
        <w:t>H0: no first-order autocorrelation</w:t>
      </w:r>
      <w:r>
        <w:rPr>
          <w:rFonts w:ascii="Times New Roman" w:hAnsi="Times New Roman" w:cs="Times New Roman"/>
          <w:color w:val="000000" w:themeColor="text1"/>
          <w:sz w:val="24"/>
          <w:szCs w:val="24"/>
        </w:rPr>
        <w:br/>
        <w:t xml:space="preserve">    </w:t>
      </w:r>
      <w:proofErr w:type="gramStart"/>
      <w:r>
        <w:rPr>
          <w:rFonts w:ascii="Times New Roman" w:hAnsi="Times New Roman" w:cs="Times New Roman"/>
          <w:color w:val="000000" w:themeColor="text1"/>
          <w:sz w:val="24"/>
          <w:szCs w:val="24"/>
        </w:rPr>
        <w:t xml:space="preserve">F(  </w:t>
      </w:r>
      <w:proofErr w:type="gramEnd"/>
      <w:r>
        <w:rPr>
          <w:rFonts w:ascii="Times New Roman" w:hAnsi="Times New Roman" w:cs="Times New Roman"/>
          <w:color w:val="000000" w:themeColor="text1"/>
          <w:sz w:val="24"/>
          <w:szCs w:val="24"/>
        </w:rPr>
        <w:t>1,   29) =      0.061</w:t>
      </w:r>
      <w:r>
        <w:rPr>
          <w:rFonts w:ascii="Times New Roman" w:hAnsi="Times New Roman" w:cs="Times New Roman"/>
          <w:color w:val="000000" w:themeColor="text1"/>
          <w:sz w:val="24"/>
          <w:szCs w:val="24"/>
        </w:rPr>
        <w:br/>
        <w:t xml:space="preserve">           Prob &gt; F =      0.8070</w:t>
      </w:r>
      <w:r>
        <w:rPr>
          <w:rFonts w:ascii="Times New Roman" w:hAnsi="Times New Roman" w:cs="Times New Roman"/>
          <w:color w:val="000000" w:themeColor="text1"/>
          <w:sz w:val="24"/>
          <w:szCs w:val="24"/>
        </w:rPr>
        <w:br/>
        <w:t>Wooldridge test for autocorrelation in panel data</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lastRenderedPageBreak/>
        <w:t>H0: no first-order autocorrelation</w:t>
      </w:r>
      <w:r>
        <w:rPr>
          <w:rFonts w:ascii="Times New Roman" w:hAnsi="Times New Roman" w:cs="Times New Roman"/>
          <w:color w:val="000000" w:themeColor="text1"/>
          <w:sz w:val="24"/>
          <w:szCs w:val="24"/>
        </w:rPr>
        <w:br/>
        <w:t xml:space="preserve">    F(  1,      29) =     38.193</w:t>
      </w:r>
      <w:r>
        <w:rPr>
          <w:rFonts w:ascii="Times New Roman" w:hAnsi="Times New Roman" w:cs="Times New Roman"/>
          <w:color w:val="000000" w:themeColor="text1"/>
          <w:sz w:val="24"/>
          <w:szCs w:val="24"/>
        </w:rPr>
        <w:br/>
        <w:t xml:space="preserve">           Prob &gt; F =      0.0000</w:t>
      </w:r>
      <w:r>
        <w:rPr>
          <w:rFonts w:ascii="Times New Roman" w:hAnsi="Times New Roman" w:cs="Times New Roman"/>
          <w:b/>
          <w:bCs/>
          <w:color w:val="000000" w:themeColor="text1"/>
          <w:sz w:val="24"/>
          <w:szCs w:val="24"/>
        </w:rPr>
        <w:br/>
        <w:t xml:space="preserve">Linear regression </w:t>
      </w:r>
    </w:p>
    <w:tbl>
      <w:tblPr>
        <w:tblW w:w="0" w:type="auto"/>
        <w:tblLayout w:type="fixed"/>
        <w:tblLook w:val="04A0" w:firstRow="1" w:lastRow="0" w:firstColumn="1" w:lastColumn="0" w:noHBand="0" w:noVBand="1"/>
      </w:tblPr>
      <w:tblGrid>
        <w:gridCol w:w="1708"/>
        <w:gridCol w:w="700"/>
        <w:gridCol w:w="500"/>
        <w:gridCol w:w="1200"/>
        <w:gridCol w:w="50"/>
        <w:gridCol w:w="800"/>
        <w:gridCol w:w="900"/>
        <w:gridCol w:w="600"/>
        <w:gridCol w:w="600"/>
        <w:gridCol w:w="1150"/>
        <w:gridCol w:w="50"/>
        <w:gridCol w:w="600"/>
      </w:tblGrid>
      <w:tr w:rsidR="0011664F" w14:paraId="085E9D38" w14:textId="77777777">
        <w:tc>
          <w:tcPr>
            <w:tcW w:w="1708" w:type="dxa"/>
            <w:tcBorders>
              <w:top w:val="single" w:sz="4" w:space="0" w:color="auto"/>
              <w:left w:val="nil"/>
              <w:bottom w:val="single" w:sz="8" w:space="0" w:color="auto"/>
              <w:right w:val="nil"/>
            </w:tcBorders>
          </w:tcPr>
          <w:p w14:paraId="78C96583"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MPPS</w:t>
            </w:r>
          </w:p>
        </w:tc>
        <w:tc>
          <w:tcPr>
            <w:tcW w:w="1200" w:type="dxa"/>
            <w:gridSpan w:val="2"/>
            <w:tcBorders>
              <w:top w:val="single" w:sz="4" w:space="0" w:color="auto"/>
              <w:left w:val="nil"/>
              <w:bottom w:val="single" w:sz="8" w:space="0" w:color="auto"/>
              <w:right w:val="nil"/>
            </w:tcBorders>
          </w:tcPr>
          <w:p w14:paraId="61485A95"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Coef.</w:t>
            </w:r>
          </w:p>
        </w:tc>
        <w:tc>
          <w:tcPr>
            <w:tcW w:w="1200" w:type="dxa"/>
            <w:tcBorders>
              <w:top w:val="single" w:sz="4" w:space="0" w:color="auto"/>
              <w:left w:val="nil"/>
              <w:bottom w:val="single" w:sz="8" w:space="0" w:color="auto"/>
              <w:right w:val="nil"/>
            </w:tcBorders>
          </w:tcPr>
          <w:p w14:paraId="2FC7FA0B"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St.Err</w:t>
            </w:r>
            <w:proofErr w:type="spellEnd"/>
            <w:proofErr w:type="gramEnd"/>
            <w:r>
              <w:rPr>
                <w:rFonts w:ascii="Times New Roman" w:hAnsi="Times New Roman" w:cs="Times New Roman"/>
                <w:color w:val="000000" w:themeColor="text1"/>
                <w:sz w:val="24"/>
                <w:szCs w:val="24"/>
              </w:rPr>
              <w:t>.</w:t>
            </w:r>
          </w:p>
        </w:tc>
        <w:tc>
          <w:tcPr>
            <w:tcW w:w="850" w:type="dxa"/>
            <w:gridSpan w:val="2"/>
            <w:tcBorders>
              <w:top w:val="single" w:sz="4" w:space="0" w:color="auto"/>
              <w:left w:val="nil"/>
              <w:bottom w:val="single" w:sz="8" w:space="0" w:color="auto"/>
              <w:right w:val="nil"/>
            </w:tcBorders>
          </w:tcPr>
          <w:p w14:paraId="25D051C3"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t-value</w:t>
            </w:r>
          </w:p>
        </w:tc>
        <w:tc>
          <w:tcPr>
            <w:tcW w:w="900" w:type="dxa"/>
            <w:tcBorders>
              <w:top w:val="single" w:sz="4" w:space="0" w:color="auto"/>
              <w:left w:val="nil"/>
              <w:bottom w:val="single" w:sz="8" w:space="0" w:color="auto"/>
              <w:right w:val="nil"/>
            </w:tcBorders>
          </w:tcPr>
          <w:p w14:paraId="43DD708B"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p-value</w:t>
            </w:r>
          </w:p>
        </w:tc>
        <w:tc>
          <w:tcPr>
            <w:tcW w:w="1200" w:type="dxa"/>
            <w:gridSpan w:val="2"/>
            <w:tcBorders>
              <w:top w:val="single" w:sz="4" w:space="0" w:color="auto"/>
              <w:left w:val="nil"/>
              <w:bottom w:val="single" w:sz="8" w:space="0" w:color="auto"/>
              <w:right w:val="nil"/>
            </w:tcBorders>
          </w:tcPr>
          <w:p w14:paraId="21336202"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[95% Conf</w:t>
            </w:r>
          </w:p>
        </w:tc>
        <w:tc>
          <w:tcPr>
            <w:tcW w:w="1200" w:type="dxa"/>
            <w:gridSpan w:val="2"/>
            <w:tcBorders>
              <w:top w:val="single" w:sz="4" w:space="0" w:color="auto"/>
              <w:left w:val="nil"/>
              <w:bottom w:val="single" w:sz="8" w:space="0" w:color="auto"/>
              <w:right w:val="nil"/>
            </w:tcBorders>
          </w:tcPr>
          <w:p w14:paraId="4B43B494"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Interval]</w:t>
            </w:r>
          </w:p>
        </w:tc>
        <w:tc>
          <w:tcPr>
            <w:tcW w:w="600" w:type="dxa"/>
            <w:tcBorders>
              <w:top w:val="single" w:sz="4" w:space="0" w:color="auto"/>
              <w:left w:val="nil"/>
              <w:bottom w:val="single" w:sz="8" w:space="0" w:color="auto"/>
              <w:right w:val="nil"/>
            </w:tcBorders>
          </w:tcPr>
          <w:p w14:paraId="7F73610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Sig</w:t>
            </w:r>
          </w:p>
        </w:tc>
      </w:tr>
      <w:tr w:rsidR="0011664F" w14:paraId="643E4E36" w14:textId="77777777">
        <w:tc>
          <w:tcPr>
            <w:tcW w:w="1708" w:type="dxa"/>
          </w:tcPr>
          <w:p w14:paraId="30C22611"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EPS</w:t>
            </w:r>
          </w:p>
        </w:tc>
        <w:tc>
          <w:tcPr>
            <w:tcW w:w="1200" w:type="dxa"/>
            <w:gridSpan w:val="2"/>
          </w:tcPr>
          <w:p w14:paraId="233B20E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11.18</w:t>
            </w:r>
          </w:p>
        </w:tc>
        <w:tc>
          <w:tcPr>
            <w:tcW w:w="1200" w:type="dxa"/>
          </w:tcPr>
          <w:p w14:paraId="2E6A501B"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1.626</w:t>
            </w:r>
          </w:p>
        </w:tc>
        <w:tc>
          <w:tcPr>
            <w:tcW w:w="850" w:type="dxa"/>
            <w:gridSpan w:val="2"/>
          </w:tcPr>
          <w:p w14:paraId="3F8FDDE5"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6.88</w:t>
            </w:r>
          </w:p>
        </w:tc>
        <w:tc>
          <w:tcPr>
            <w:tcW w:w="900" w:type="dxa"/>
          </w:tcPr>
          <w:p w14:paraId="0D407BFA"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00" w:type="dxa"/>
            <w:gridSpan w:val="2"/>
          </w:tcPr>
          <w:p w14:paraId="7DE0DADE"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7.931</w:t>
            </w:r>
          </w:p>
        </w:tc>
        <w:tc>
          <w:tcPr>
            <w:tcW w:w="1200" w:type="dxa"/>
            <w:gridSpan w:val="2"/>
          </w:tcPr>
          <w:p w14:paraId="36396791"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14.429</w:t>
            </w:r>
          </w:p>
        </w:tc>
        <w:tc>
          <w:tcPr>
            <w:tcW w:w="600" w:type="dxa"/>
          </w:tcPr>
          <w:p w14:paraId="5346F553"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11664F" w14:paraId="70CB5E0C" w14:textId="77777777">
        <w:tc>
          <w:tcPr>
            <w:tcW w:w="1708" w:type="dxa"/>
          </w:tcPr>
          <w:p w14:paraId="454B5E62"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NAVPS</w:t>
            </w:r>
          </w:p>
        </w:tc>
        <w:tc>
          <w:tcPr>
            <w:tcW w:w="1200" w:type="dxa"/>
            <w:gridSpan w:val="2"/>
          </w:tcPr>
          <w:p w14:paraId="7770BD9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.539</w:t>
            </w:r>
          </w:p>
        </w:tc>
        <w:tc>
          <w:tcPr>
            <w:tcW w:w="1200" w:type="dxa"/>
          </w:tcPr>
          <w:p w14:paraId="3B269B48"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.349</w:t>
            </w:r>
          </w:p>
        </w:tc>
        <w:tc>
          <w:tcPr>
            <w:tcW w:w="850" w:type="dxa"/>
            <w:gridSpan w:val="2"/>
          </w:tcPr>
          <w:p w14:paraId="531FE702"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1.54</w:t>
            </w:r>
          </w:p>
        </w:tc>
        <w:tc>
          <w:tcPr>
            <w:tcW w:w="900" w:type="dxa"/>
          </w:tcPr>
          <w:p w14:paraId="09EE0701"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.128</w:t>
            </w:r>
          </w:p>
        </w:tc>
        <w:tc>
          <w:tcPr>
            <w:tcW w:w="1200" w:type="dxa"/>
            <w:gridSpan w:val="2"/>
          </w:tcPr>
          <w:p w14:paraId="0B8F6B96"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-.159</w:t>
            </w:r>
          </w:p>
        </w:tc>
        <w:tc>
          <w:tcPr>
            <w:tcW w:w="1200" w:type="dxa"/>
            <w:gridSpan w:val="2"/>
          </w:tcPr>
          <w:p w14:paraId="181F1224"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1.236</w:t>
            </w:r>
          </w:p>
        </w:tc>
        <w:tc>
          <w:tcPr>
            <w:tcW w:w="600" w:type="dxa"/>
          </w:tcPr>
          <w:p w14:paraId="7B07AED7" w14:textId="77777777" w:rsidR="0011664F" w:rsidRDefault="0011664F">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p>
        </w:tc>
      </w:tr>
      <w:tr w:rsidR="0011664F" w14:paraId="41DCC46B" w14:textId="77777777">
        <w:tc>
          <w:tcPr>
            <w:tcW w:w="1708" w:type="dxa"/>
          </w:tcPr>
          <w:p w14:paraId="44E3DA96"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DPS</w:t>
            </w:r>
          </w:p>
        </w:tc>
        <w:tc>
          <w:tcPr>
            <w:tcW w:w="1200" w:type="dxa"/>
            <w:gridSpan w:val="2"/>
          </w:tcPr>
          <w:p w14:paraId="74457971"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3.931</w:t>
            </w:r>
          </w:p>
        </w:tc>
        <w:tc>
          <w:tcPr>
            <w:tcW w:w="1200" w:type="dxa"/>
          </w:tcPr>
          <w:p w14:paraId="2850D2C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1.104</w:t>
            </w:r>
          </w:p>
        </w:tc>
        <w:tc>
          <w:tcPr>
            <w:tcW w:w="850" w:type="dxa"/>
            <w:gridSpan w:val="2"/>
          </w:tcPr>
          <w:p w14:paraId="3FB3A191"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3.56</w:t>
            </w:r>
          </w:p>
        </w:tc>
        <w:tc>
          <w:tcPr>
            <w:tcW w:w="900" w:type="dxa"/>
          </w:tcPr>
          <w:p w14:paraId="694A2020"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.001</w:t>
            </w:r>
          </w:p>
        </w:tc>
        <w:tc>
          <w:tcPr>
            <w:tcW w:w="1200" w:type="dxa"/>
            <w:gridSpan w:val="2"/>
          </w:tcPr>
          <w:p w14:paraId="5BBF4D68"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1.724</w:t>
            </w:r>
          </w:p>
        </w:tc>
        <w:tc>
          <w:tcPr>
            <w:tcW w:w="1200" w:type="dxa"/>
            <w:gridSpan w:val="2"/>
          </w:tcPr>
          <w:p w14:paraId="55096A31"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6.138</w:t>
            </w:r>
          </w:p>
        </w:tc>
        <w:tc>
          <w:tcPr>
            <w:tcW w:w="600" w:type="dxa"/>
          </w:tcPr>
          <w:p w14:paraId="653BCAB7"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11664F" w14:paraId="2A1049AE" w14:textId="77777777">
        <w:tc>
          <w:tcPr>
            <w:tcW w:w="1708" w:type="dxa"/>
          </w:tcPr>
          <w:p w14:paraId="4D6812F7"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ROE</w:t>
            </w:r>
          </w:p>
        </w:tc>
        <w:tc>
          <w:tcPr>
            <w:tcW w:w="1200" w:type="dxa"/>
            <w:gridSpan w:val="2"/>
          </w:tcPr>
          <w:p w14:paraId="2CAC5C42"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-122.007</w:t>
            </w:r>
          </w:p>
        </w:tc>
        <w:tc>
          <w:tcPr>
            <w:tcW w:w="1200" w:type="dxa"/>
          </w:tcPr>
          <w:p w14:paraId="6B5C113D"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75.444</w:t>
            </w:r>
          </w:p>
        </w:tc>
        <w:tc>
          <w:tcPr>
            <w:tcW w:w="850" w:type="dxa"/>
            <w:gridSpan w:val="2"/>
          </w:tcPr>
          <w:p w14:paraId="460E3304"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-1.62</w:t>
            </w:r>
          </w:p>
        </w:tc>
        <w:tc>
          <w:tcPr>
            <w:tcW w:w="900" w:type="dxa"/>
          </w:tcPr>
          <w:p w14:paraId="29C802F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w:t>
            </w:r>
          </w:p>
        </w:tc>
        <w:tc>
          <w:tcPr>
            <w:tcW w:w="1200" w:type="dxa"/>
            <w:gridSpan w:val="2"/>
          </w:tcPr>
          <w:p w14:paraId="792751EA"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-272.77</w:t>
            </w:r>
          </w:p>
        </w:tc>
        <w:tc>
          <w:tcPr>
            <w:tcW w:w="1200" w:type="dxa"/>
            <w:gridSpan w:val="2"/>
          </w:tcPr>
          <w:p w14:paraId="747E6C13"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28.757</w:t>
            </w:r>
          </w:p>
        </w:tc>
        <w:tc>
          <w:tcPr>
            <w:tcW w:w="600" w:type="dxa"/>
          </w:tcPr>
          <w:p w14:paraId="31050EA9" w14:textId="77777777" w:rsidR="0011664F" w:rsidRDefault="0011664F">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p>
        </w:tc>
      </w:tr>
      <w:tr w:rsidR="0011664F" w14:paraId="1A1EB60C" w14:textId="77777777">
        <w:tc>
          <w:tcPr>
            <w:tcW w:w="1708" w:type="dxa"/>
          </w:tcPr>
          <w:p w14:paraId="4DE75B59"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BV</w:t>
            </w:r>
          </w:p>
        </w:tc>
        <w:tc>
          <w:tcPr>
            <w:tcW w:w="1200" w:type="dxa"/>
            <w:gridSpan w:val="2"/>
          </w:tcPr>
          <w:p w14:paraId="3FA83595"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.562</w:t>
            </w:r>
          </w:p>
        </w:tc>
        <w:tc>
          <w:tcPr>
            <w:tcW w:w="1200" w:type="dxa"/>
          </w:tcPr>
          <w:p w14:paraId="331C5D36"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.146</w:t>
            </w:r>
          </w:p>
        </w:tc>
        <w:tc>
          <w:tcPr>
            <w:tcW w:w="850" w:type="dxa"/>
            <w:gridSpan w:val="2"/>
          </w:tcPr>
          <w:p w14:paraId="6230B06A"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3.84</w:t>
            </w:r>
          </w:p>
        </w:tc>
        <w:tc>
          <w:tcPr>
            <w:tcW w:w="900" w:type="dxa"/>
          </w:tcPr>
          <w:p w14:paraId="00ECBD82"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00" w:type="dxa"/>
            <w:gridSpan w:val="2"/>
          </w:tcPr>
          <w:p w14:paraId="152EE664"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1200" w:type="dxa"/>
            <w:gridSpan w:val="2"/>
          </w:tcPr>
          <w:p w14:paraId="43494CB7"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.854</w:t>
            </w:r>
          </w:p>
        </w:tc>
        <w:tc>
          <w:tcPr>
            <w:tcW w:w="600" w:type="dxa"/>
          </w:tcPr>
          <w:p w14:paraId="6E10EB45"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11664F" w14:paraId="2579E6F1" w14:textId="77777777">
        <w:tc>
          <w:tcPr>
            <w:tcW w:w="1708" w:type="dxa"/>
          </w:tcPr>
          <w:p w14:paraId="273AA721"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w:t>
            </w:r>
          </w:p>
        </w:tc>
        <w:tc>
          <w:tcPr>
            <w:tcW w:w="1200" w:type="dxa"/>
            <w:gridSpan w:val="2"/>
          </w:tcPr>
          <w:p w14:paraId="102A5C62"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-.008</w:t>
            </w:r>
          </w:p>
        </w:tc>
        <w:tc>
          <w:tcPr>
            <w:tcW w:w="1200" w:type="dxa"/>
          </w:tcPr>
          <w:p w14:paraId="4426C257"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.04</w:t>
            </w:r>
          </w:p>
        </w:tc>
        <w:tc>
          <w:tcPr>
            <w:tcW w:w="850" w:type="dxa"/>
            <w:gridSpan w:val="2"/>
          </w:tcPr>
          <w:p w14:paraId="1DFA59ED"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-0.21</w:t>
            </w:r>
          </w:p>
        </w:tc>
        <w:tc>
          <w:tcPr>
            <w:tcW w:w="900" w:type="dxa"/>
          </w:tcPr>
          <w:p w14:paraId="2858962A"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.835</w:t>
            </w:r>
          </w:p>
        </w:tc>
        <w:tc>
          <w:tcPr>
            <w:tcW w:w="1200" w:type="dxa"/>
            <w:gridSpan w:val="2"/>
          </w:tcPr>
          <w:p w14:paraId="6985A485"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-.089</w:t>
            </w:r>
          </w:p>
        </w:tc>
        <w:tc>
          <w:tcPr>
            <w:tcW w:w="1200" w:type="dxa"/>
            <w:gridSpan w:val="2"/>
          </w:tcPr>
          <w:p w14:paraId="4705654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.072</w:t>
            </w:r>
          </w:p>
        </w:tc>
        <w:tc>
          <w:tcPr>
            <w:tcW w:w="600" w:type="dxa"/>
          </w:tcPr>
          <w:p w14:paraId="350BEC6D" w14:textId="77777777" w:rsidR="0011664F" w:rsidRDefault="0011664F">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p>
        </w:tc>
      </w:tr>
      <w:tr w:rsidR="0011664F" w14:paraId="18BCDDD7" w14:textId="77777777">
        <w:tc>
          <w:tcPr>
            <w:tcW w:w="1708" w:type="dxa"/>
          </w:tcPr>
          <w:p w14:paraId="509D811E"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Constant</w:t>
            </w:r>
          </w:p>
        </w:tc>
        <w:tc>
          <w:tcPr>
            <w:tcW w:w="1200" w:type="dxa"/>
            <w:gridSpan w:val="2"/>
          </w:tcPr>
          <w:p w14:paraId="456F465F"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-2.561</w:t>
            </w:r>
          </w:p>
        </w:tc>
        <w:tc>
          <w:tcPr>
            <w:tcW w:w="1200" w:type="dxa"/>
          </w:tcPr>
          <w:p w14:paraId="58EB889F"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22.931</w:t>
            </w:r>
          </w:p>
        </w:tc>
        <w:tc>
          <w:tcPr>
            <w:tcW w:w="850" w:type="dxa"/>
            <w:gridSpan w:val="2"/>
          </w:tcPr>
          <w:p w14:paraId="5EE51AFE"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-0.11</w:t>
            </w:r>
          </w:p>
        </w:tc>
        <w:tc>
          <w:tcPr>
            <w:tcW w:w="900" w:type="dxa"/>
          </w:tcPr>
          <w:p w14:paraId="16497D4F"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.911</w:t>
            </w:r>
          </w:p>
        </w:tc>
        <w:tc>
          <w:tcPr>
            <w:tcW w:w="1200" w:type="dxa"/>
            <w:gridSpan w:val="2"/>
          </w:tcPr>
          <w:p w14:paraId="1C58FCEB"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-48.385</w:t>
            </w:r>
          </w:p>
        </w:tc>
        <w:tc>
          <w:tcPr>
            <w:tcW w:w="1200" w:type="dxa"/>
            <w:gridSpan w:val="2"/>
          </w:tcPr>
          <w:p w14:paraId="1CEB8636"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43.263</w:t>
            </w:r>
          </w:p>
        </w:tc>
        <w:tc>
          <w:tcPr>
            <w:tcW w:w="600" w:type="dxa"/>
          </w:tcPr>
          <w:p w14:paraId="128879FF" w14:textId="77777777" w:rsidR="0011664F" w:rsidRDefault="0011664F">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p>
        </w:tc>
      </w:tr>
      <w:tr w:rsidR="0011664F" w14:paraId="67CE1B80" w14:textId="77777777">
        <w:tc>
          <w:tcPr>
            <w:tcW w:w="8858" w:type="dxa"/>
            <w:gridSpan w:val="12"/>
            <w:tcBorders>
              <w:top w:val="nil"/>
              <w:left w:val="nil"/>
              <w:bottom w:val="single" w:sz="4" w:space="0" w:color="auto"/>
              <w:right w:val="nil"/>
            </w:tcBorders>
          </w:tcPr>
          <w:p w14:paraId="20974F68" w14:textId="77777777" w:rsidR="0011664F" w:rsidRDefault="0011664F">
            <w:pPr>
              <w:widowControl w:val="0"/>
              <w:autoSpaceDE w:val="0"/>
              <w:autoSpaceDN w:val="0"/>
              <w:adjustRightInd w:val="0"/>
              <w:spacing w:after="0" w:line="360" w:lineRule="auto"/>
              <w:rPr>
                <w:rFonts w:ascii="Times New Roman" w:hAnsi="Times New Roman" w:cs="Times New Roman"/>
                <w:color w:val="000000" w:themeColor="text1"/>
                <w:sz w:val="24"/>
                <w:szCs w:val="24"/>
              </w:rPr>
            </w:pPr>
          </w:p>
        </w:tc>
      </w:tr>
      <w:tr w:rsidR="0011664F" w14:paraId="61BDF217" w14:textId="77777777">
        <w:trPr>
          <w:gridAfter w:val="2"/>
          <w:wAfter w:w="650" w:type="dxa"/>
        </w:trPr>
        <w:tc>
          <w:tcPr>
            <w:tcW w:w="2408" w:type="dxa"/>
            <w:gridSpan w:val="2"/>
          </w:tcPr>
          <w:p w14:paraId="6901EBB8"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Mean dependent var</w:t>
            </w:r>
          </w:p>
        </w:tc>
        <w:tc>
          <w:tcPr>
            <w:tcW w:w="1750" w:type="dxa"/>
            <w:gridSpan w:val="3"/>
          </w:tcPr>
          <w:p w14:paraId="09BCD31B"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146.393</w:t>
            </w:r>
          </w:p>
        </w:tc>
        <w:tc>
          <w:tcPr>
            <w:tcW w:w="2300" w:type="dxa"/>
            <w:gridSpan w:val="3"/>
          </w:tcPr>
          <w:p w14:paraId="2BFB5D72"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SD dependent var </w:t>
            </w:r>
          </w:p>
        </w:tc>
        <w:tc>
          <w:tcPr>
            <w:tcW w:w="1750" w:type="dxa"/>
            <w:gridSpan w:val="2"/>
          </w:tcPr>
          <w:p w14:paraId="653C9F73"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147.637</w:t>
            </w:r>
          </w:p>
        </w:tc>
      </w:tr>
      <w:tr w:rsidR="0011664F" w14:paraId="46666378" w14:textId="77777777">
        <w:trPr>
          <w:gridAfter w:val="2"/>
          <w:wAfter w:w="650" w:type="dxa"/>
        </w:trPr>
        <w:tc>
          <w:tcPr>
            <w:tcW w:w="2408" w:type="dxa"/>
            <w:gridSpan w:val="2"/>
          </w:tcPr>
          <w:p w14:paraId="4EFD4B19"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R-squared </w:t>
            </w:r>
          </w:p>
        </w:tc>
        <w:tc>
          <w:tcPr>
            <w:tcW w:w="1750" w:type="dxa"/>
            <w:gridSpan w:val="3"/>
          </w:tcPr>
          <w:p w14:paraId="6636E9C1"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0.808</w:t>
            </w:r>
          </w:p>
        </w:tc>
        <w:tc>
          <w:tcPr>
            <w:tcW w:w="2300" w:type="dxa"/>
            <w:gridSpan w:val="3"/>
          </w:tcPr>
          <w:p w14:paraId="63B26BA0"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Number of </w:t>
            </w:r>
            <w:proofErr w:type="spellStart"/>
            <w:r>
              <w:rPr>
                <w:rFonts w:ascii="Times New Roman" w:hAnsi="Times New Roman" w:cs="Times New Roman"/>
                <w:color w:val="000000" w:themeColor="text1"/>
                <w:sz w:val="24"/>
                <w:szCs w:val="24"/>
              </w:rPr>
              <w:t>obs</w:t>
            </w:r>
            <w:proofErr w:type="spellEnd"/>
            <w:r>
              <w:rPr>
                <w:rFonts w:ascii="Times New Roman" w:hAnsi="Times New Roman" w:cs="Times New Roman"/>
                <w:color w:val="000000" w:themeColor="text1"/>
                <w:sz w:val="24"/>
                <w:szCs w:val="24"/>
              </w:rPr>
              <w:t xml:space="preserve">  </w:t>
            </w:r>
          </w:p>
        </w:tc>
        <w:tc>
          <w:tcPr>
            <w:tcW w:w="1750" w:type="dxa"/>
            <w:gridSpan w:val="2"/>
          </w:tcPr>
          <w:p w14:paraId="4ED7C326"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w:t>
            </w:r>
          </w:p>
        </w:tc>
      </w:tr>
      <w:tr w:rsidR="0011664F" w14:paraId="482153BB" w14:textId="77777777">
        <w:trPr>
          <w:gridAfter w:val="2"/>
          <w:wAfter w:w="650" w:type="dxa"/>
        </w:trPr>
        <w:tc>
          <w:tcPr>
            <w:tcW w:w="2408" w:type="dxa"/>
            <w:gridSpan w:val="2"/>
          </w:tcPr>
          <w:p w14:paraId="6102C430"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F-test  </w:t>
            </w:r>
          </w:p>
        </w:tc>
        <w:tc>
          <w:tcPr>
            <w:tcW w:w="1750" w:type="dxa"/>
            <w:gridSpan w:val="3"/>
          </w:tcPr>
          <w:p w14:paraId="422D5E3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44.124</w:t>
            </w:r>
          </w:p>
        </w:tc>
        <w:tc>
          <w:tcPr>
            <w:tcW w:w="2300" w:type="dxa"/>
            <w:gridSpan w:val="3"/>
          </w:tcPr>
          <w:p w14:paraId="6184830D"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Prob &gt; F </w:t>
            </w:r>
          </w:p>
        </w:tc>
        <w:tc>
          <w:tcPr>
            <w:tcW w:w="1750" w:type="dxa"/>
            <w:gridSpan w:val="2"/>
          </w:tcPr>
          <w:p w14:paraId="33A47B77"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0.000</w:t>
            </w:r>
          </w:p>
        </w:tc>
      </w:tr>
      <w:tr w:rsidR="0011664F" w14:paraId="20713295" w14:textId="77777777">
        <w:trPr>
          <w:gridAfter w:val="2"/>
          <w:wAfter w:w="650" w:type="dxa"/>
        </w:trPr>
        <w:tc>
          <w:tcPr>
            <w:tcW w:w="2408" w:type="dxa"/>
            <w:gridSpan w:val="2"/>
          </w:tcPr>
          <w:p w14:paraId="4195FC0F"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Akaike crit. (AIC)</w:t>
            </w:r>
          </w:p>
        </w:tc>
        <w:tc>
          <w:tcPr>
            <w:tcW w:w="1750" w:type="dxa"/>
            <w:gridSpan w:val="3"/>
          </w:tcPr>
          <w:p w14:paraId="31F39E1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795.473</w:t>
            </w:r>
          </w:p>
        </w:tc>
        <w:tc>
          <w:tcPr>
            <w:tcW w:w="2300" w:type="dxa"/>
            <w:gridSpan w:val="3"/>
          </w:tcPr>
          <w:p w14:paraId="6A04E5F8"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Bayesian crit. (BIC)</w:t>
            </w:r>
          </w:p>
        </w:tc>
        <w:tc>
          <w:tcPr>
            <w:tcW w:w="1750" w:type="dxa"/>
            <w:gridSpan w:val="2"/>
          </w:tcPr>
          <w:p w14:paraId="58F74078"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811.212</w:t>
            </w:r>
          </w:p>
        </w:tc>
      </w:tr>
      <w:tr w:rsidR="0011664F" w14:paraId="05413B7F" w14:textId="77777777">
        <w:tc>
          <w:tcPr>
            <w:tcW w:w="8858" w:type="dxa"/>
            <w:gridSpan w:val="12"/>
            <w:tcBorders>
              <w:top w:val="single" w:sz="6" w:space="0" w:color="auto"/>
              <w:left w:val="nil"/>
              <w:bottom w:val="nil"/>
              <w:right w:val="nil"/>
            </w:tcBorders>
          </w:tcPr>
          <w:p w14:paraId="31AE42B1"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 p&lt;.01, ** p&lt;.05, * p&lt;.1</w:t>
            </w:r>
          </w:p>
        </w:tc>
      </w:tr>
      <w:tr w:rsidR="0011664F" w14:paraId="7C0DB9DB" w14:textId="77777777">
        <w:tc>
          <w:tcPr>
            <w:tcW w:w="8858" w:type="dxa"/>
            <w:gridSpan w:val="12"/>
          </w:tcPr>
          <w:p w14:paraId="32943DA5" w14:textId="77777777" w:rsidR="0011664F" w:rsidRDefault="0011664F">
            <w:pPr>
              <w:widowControl w:val="0"/>
              <w:autoSpaceDE w:val="0"/>
              <w:autoSpaceDN w:val="0"/>
              <w:adjustRightInd w:val="0"/>
              <w:spacing w:after="0" w:line="360" w:lineRule="auto"/>
              <w:rPr>
                <w:rFonts w:ascii="Times New Roman" w:hAnsi="Times New Roman" w:cs="Times New Roman"/>
                <w:color w:val="000000" w:themeColor="text1"/>
                <w:sz w:val="24"/>
                <w:szCs w:val="24"/>
              </w:rPr>
            </w:pPr>
          </w:p>
        </w:tc>
      </w:tr>
    </w:tbl>
    <w:p w14:paraId="359FFB5F"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br/>
        <w:t xml:space="preserve">Variance inflation factor </w:t>
      </w:r>
    </w:p>
    <w:tbl>
      <w:tblPr>
        <w:tblW w:w="0" w:type="auto"/>
        <w:tblLayout w:type="fixed"/>
        <w:tblLook w:val="04A0" w:firstRow="1" w:lastRow="0" w:firstColumn="1" w:lastColumn="0" w:noHBand="0" w:noVBand="1"/>
      </w:tblPr>
      <w:tblGrid>
        <w:gridCol w:w="1208"/>
        <w:gridCol w:w="1220"/>
        <w:gridCol w:w="1220"/>
      </w:tblGrid>
      <w:tr w:rsidR="0011664F" w14:paraId="605EB916" w14:textId="77777777">
        <w:tc>
          <w:tcPr>
            <w:tcW w:w="1208" w:type="dxa"/>
            <w:tcBorders>
              <w:top w:val="single" w:sz="4" w:space="0" w:color="auto"/>
              <w:left w:val="nil"/>
              <w:bottom w:val="single" w:sz="12" w:space="0" w:color="auto"/>
              <w:right w:val="nil"/>
            </w:tcBorders>
          </w:tcPr>
          <w:p w14:paraId="557B4C3E"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tc>
        <w:tc>
          <w:tcPr>
            <w:tcW w:w="1220" w:type="dxa"/>
            <w:tcBorders>
              <w:top w:val="single" w:sz="4" w:space="0" w:color="auto"/>
              <w:left w:val="nil"/>
              <w:bottom w:val="single" w:sz="12" w:space="0" w:color="auto"/>
              <w:right w:val="nil"/>
            </w:tcBorders>
          </w:tcPr>
          <w:p w14:paraId="7628D377"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VIF</w:t>
            </w:r>
          </w:p>
        </w:tc>
        <w:tc>
          <w:tcPr>
            <w:tcW w:w="1220" w:type="dxa"/>
            <w:tcBorders>
              <w:top w:val="single" w:sz="4" w:space="0" w:color="auto"/>
              <w:left w:val="nil"/>
              <w:bottom w:val="single" w:sz="12" w:space="0" w:color="auto"/>
              <w:right w:val="nil"/>
            </w:tcBorders>
          </w:tcPr>
          <w:p w14:paraId="1745807B"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1/VIF</w:t>
            </w:r>
          </w:p>
        </w:tc>
      </w:tr>
      <w:tr w:rsidR="0011664F" w14:paraId="7EB6A03B" w14:textId="77777777">
        <w:tc>
          <w:tcPr>
            <w:tcW w:w="1208" w:type="dxa"/>
          </w:tcPr>
          <w:p w14:paraId="2CEF68FF"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EPS</w:t>
            </w:r>
          </w:p>
        </w:tc>
        <w:tc>
          <w:tcPr>
            <w:tcW w:w="1220" w:type="dxa"/>
          </w:tcPr>
          <w:p w14:paraId="779BB69B"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2.884</w:t>
            </w:r>
          </w:p>
        </w:tc>
        <w:tc>
          <w:tcPr>
            <w:tcW w:w="1220" w:type="dxa"/>
          </w:tcPr>
          <w:p w14:paraId="2BB94C73"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.347</w:t>
            </w:r>
          </w:p>
        </w:tc>
      </w:tr>
      <w:tr w:rsidR="0011664F" w14:paraId="427B88DD" w14:textId="77777777">
        <w:tc>
          <w:tcPr>
            <w:tcW w:w="1208" w:type="dxa"/>
          </w:tcPr>
          <w:p w14:paraId="3F2DEA13"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DPS</w:t>
            </w:r>
          </w:p>
        </w:tc>
        <w:tc>
          <w:tcPr>
            <w:tcW w:w="1220" w:type="dxa"/>
          </w:tcPr>
          <w:p w14:paraId="5F79B171"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2.099</w:t>
            </w:r>
          </w:p>
        </w:tc>
        <w:tc>
          <w:tcPr>
            <w:tcW w:w="1220" w:type="dxa"/>
          </w:tcPr>
          <w:p w14:paraId="5A993462"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.476</w:t>
            </w:r>
          </w:p>
        </w:tc>
      </w:tr>
      <w:tr w:rsidR="0011664F" w14:paraId="08B50802" w14:textId="77777777">
        <w:tc>
          <w:tcPr>
            <w:tcW w:w="1208" w:type="dxa"/>
          </w:tcPr>
          <w:p w14:paraId="183E6A64"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ROE</w:t>
            </w:r>
          </w:p>
        </w:tc>
        <w:tc>
          <w:tcPr>
            <w:tcW w:w="1220" w:type="dxa"/>
          </w:tcPr>
          <w:p w14:paraId="2D844B95"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1.884</w:t>
            </w:r>
          </w:p>
        </w:tc>
        <w:tc>
          <w:tcPr>
            <w:tcW w:w="1220" w:type="dxa"/>
          </w:tcPr>
          <w:p w14:paraId="47545105"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.531</w:t>
            </w:r>
          </w:p>
        </w:tc>
      </w:tr>
      <w:tr w:rsidR="0011664F" w14:paraId="721B7A7E" w14:textId="77777777">
        <w:tc>
          <w:tcPr>
            <w:tcW w:w="1208" w:type="dxa"/>
          </w:tcPr>
          <w:p w14:paraId="2400EA61"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BV</w:t>
            </w:r>
          </w:p>
        </w:tc>
        <w:tc>
          <w:tcPr>
            <w:tcW w:w="1220" w:type="dxa"/>
          </w:tcPr>
          <w:p w14:paraId="522C40D0"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1.325</w:t>
            </w:r>
          </w:p>
        </w:tc>
        <w:tc>
          <w:tcPr>
            <w:tcW w:w="1220" w:type="dxa"/>
          </w:tcPr>
          <w:p w14:paraId="06BF408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.755</w:t>
            </w:r>
          </w:p>
        </w:tc>
      </w:tr>
      <w:tr w:rsidR="0011664F" w14:paraId="0471DC72" w14:textId="77777777">
        <w:tc>
          <w:tcPr>
            <w:tcW w:w="1208" w:type="dxa"/>
          </w:tcPr>
          <w:p w14:paraId="233732DB"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NAVPS</w:t>
            </w:r>
          </w:p>
        </w:tc>
        <w:tc>
          <w:tcPr>
            <w:tcW w:w="1220" w:type="dxa"/>
          </w:tcPr>
          <w:p w14:paraId="17A6B16F"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1.305</w:t>
            </w:r>
          </w:p>
        </w:tc>
        <w:tc>
          <w:tcPr>
            <w:tcW w:w="1220" w:type="dxa"/>
          </w:tcPr>
          <w:p w14:paraId="70F1B9CD"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.766</w:t>
            </w:r>
          </w:p>
        </w:tc>
      </w:tr>
      <w:tr w:rsidR="0011664F" w14:paraId="6AE2C544" w14:textId="77777777">
        <w:tc>
          <w:tcPr>
            <w:tcW w:w="1208" w:type="dxa"/>
          </w:tcPr>
          <w:p w14:paraId="1F22B557"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PE</w:t>
            </w:r>
          </w:p>
        </w:tc>
        <w:tc>
          <w:tcPr>
            <w:tcW w:w="1220" w:type="dxa"/>
          </w:tcPr>
          <w:p w14:paraId="11939FBA"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1.075</w:t>
            </w:r>
          </w:p>
        </w:tc>
        <w:tc>
          <w:tcPr>
            <w:tcW w:w="1220" w:type="dxa"/>
          </w:tcPr>
          <w:p w14:paraId="6763633B"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.931</w:t>
            </w:r>
          </w:p>
        </w:tc>
      </w:tr>
      <w:tr w:rsidR="0011664F" w14:paraId="443FD78A" w14:textId="77777777">
        <w:tc>
          <w:tcPr>
            <w:tcW w:w="1208" w:type="dxa"/>
            <w:tcBorders>
              <w:top w:val="nil"/>
              <w:left w:val="nil"/>
              <w:bottom w:val="single" w:sz="6" w:space="0" w:color="auto"/>
              <w:right w:val="nil"/>
            </w:tcBorders>
          </w:tcPr>
          <w:p w14:paraId="18B6C50E"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Mean VIF</w:t>
            </w:r>
          </w:p>
        </w:tc>
        <w:tc>
          <w:tcPr>
            <w:tcW w:w="1220" w:type="dxa"/>
            <w:tcBorders>
              <w:top w:val="nil"/>
              <w:left w:val="nil"/>
              <w:bottom w:val="single" w:sz="6" w:space="0" w:color="auto"/>
              <w:right w:val="nil"/>
            </w:tcBorders>
          </w:tcPr>
          <w:p w14:paraId="36B26D9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1.762</w:t>
            </w:r>
          </w:p>
        </w:tc>
        <w:tc>
          <w:tcPr>
            <w:tcW w:w="1220" w:type="dxa"/>
            <w:tcBorders>
              <w:top w:val="nil"/>
              <w:left w:val="nil"/>
              <w:bottom w:val="single" w:sz="6" w:space="0" w:color="auto"/>
              <w:right w:val="nil"/>
            </w:tcBorders>
          </w:tcPr>
          <w:p w14:paraId="7623534E"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bl>
    <w:p w14:paraId="603C9AE1"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br/>
        <w:t xml:space="preserve"> </w:t>
      </w:r>
    </w:p>
    <w:p w14:paraId="100E8A19"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Wooldridge test for autocorrelation in panel data</w:t>
      </w:r>
      <w:r>
        <w:rPr>
          <w:rFonts w:ascii="Times New Roman" w:hAnsi="Times New Roman" w:cs="Times New Roman"/>
          <w:color w:val="000000" w:themeColor="text1"/>
          <w:sz w:val="24"/>
          <w:szCs w:val="24"/>
        </w:rPr>
        <w:br/>
        <w:t>H0: no first-order autocorrelation</w:t>
      </w:r>
      <w:r>
        <w:rPr>
          <w:rFonts w:ascii="Times New Roman" w:hAnsi="Times New Roman" w:cs="Times New Roman"/>
          <w:color w:val="000000" w:themeColor="text1"/>
          <w:sz w:val="24"/>
          <w:szCs w:val="24"/>
        </w:rPr>
        <w:br/>
        <w:t xml:space="preserve">    </w:t>
      </w:r>
      <w:proofErr w:type="gramStart"/>
      <w:r>
        <w:rPr>
          <w:rFonts w:ascii="Times New Roman" w:hAnsi="Times New Roman" w:cs="Times New Roman"/>
          <w:color w:val="000000" w:themeColor="text1"/>
          <w:sz w:val="24"/>
          <w:szCs w:val="24"/>
        </w:rPr>
        <w:t xml:space="preserve">F(  </w:t>
      </w:r>
      <w:proofErr w:type="gramEnd"/>
      <w:r>
        <w:rPr>
          <w:rFonts w:ascii="Times New Roman" w:hAnsi="Times New Roman" w:cs="Times New Roman"/>
          <w:color w:val="000000" w:themeColor="text1"/>
          <w:sz w:val="24"/>
          <w:szCs w:val="24"/>
        </w:rPr>
        <w:t>1,       6) =     21.534</w:t>
      </w:r>
      <w:r>
        <w:rPr>
          <w:rFonts w:ascii="Times New Roman" w:hAnsi="Times New Roman" w:cs="Times New Roman"/>
          <w:color w:val="000000" w:themeColor="text1"/>
          <w:sz w:val="24"/>
          <w:szCs w:val="24"/>
        </w:rPr>
        <w:br/>
        <w:t xml:space="preserve">           Prob &gt; F =      0.0035</w:t>
      </w:r>
      <w:r>
        <w:rPr>
          <w:rFonts w:ascii="Times New Roman" w:hAnsi="Times New Roman" w:cs="Times New Roman"/>
          <w:b/>
          <w:bCs/>
          <w:color w:val="000000" w:themeColor="text1"/>
          <w:sz w:val="24"/>
          <w:szCs w:val="24"/>
        </w:rPr>
        <w:br/>
        <w:t xml:space="preserve">Descriptive Statistics </w:t>
      </w:r>
    </w:p>
    <w:tbl>
      <w:tblPr>
        <w:tblW w:w="0" w:type="auto"/>
        <w:tblLayout w:type="fixed"/>
        <w:tblLook w:val="04A0" w:firstRow="1" w:lastRow="0" w:firstColumn="1" w:lastColumn="0" w:noHBand="0" w:noVBand="1"/>
      </w:tblPr>
      <w:tblGrid>
        <w:gridCol w:w="2508"/>
        <w:gridCol w:w="800"/>
        <w:gridCol w:w="1400"/>
        <w:gridCol w:w="1400"/>
        <w:gridCol w:w="1400"/>
        <w:gridCol w:w="1400"/>
      </w:tblGrid>
      <w:tr w:rsidR="0011664F" w14:paraId="029F1C84" w14:textId="77777777">
        <w:tc>
          <w:tcPr>
            <w:tcW w:w="2508" w:type="dxa"/>
            <w:tcBorders>
              <w:top w:val="single" w:sz="4" w:space="0" w:color="auto"/>
              <w:left w:val="nil"/>
              <w:bottom w:val="single" w:sz="12" w:space="0" w:color="auto"/>
              <w:right w:val="nil"/>
            </w:tcBorders>
          </w:tcPr>
          <w:p w14:paraId="18D4AB30"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Variable</w:t>
            </w:r>
          </w:p>
        </w:tc>
        <w:tc>
          <w:tcPr>
            <w:tcW w:w="800" w:type="dxa"/>
            <w:tcBorders>
              <w:top w:val="single" w:sz="4" w:space="0" w:color="auto"/>
              <w:left w:val="nil"/>
              <w:bottom w:val="single" w:sz="12" w:space="0" w:color="auto"/>
              <w:right w:val="nil"/>
            </w:tcBorders>
          </w:tcPr>
          <w:p w14:paraId="31B81C91"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Obs</w:t>
            </w:r>
            <w:proofErr w:type="spellEnd"/>
          </w:p>
        </w:tc>
        <w:tc>
          <w:tcPr>
            <w:tcW w:w="1400" w:type="dxa"/>
            <w:tcBorders>
              <w:top w:val="single" w:sz="4" w:space="0" w:color="auto"/>
              <w:left w:val="nil"/>
              <w:bottom w:val="single" w:sz="12" w:space="0" w:color="auto"/>
              <w:right w:val="nil"/>
            </w:tcBorders>
          </w:tcPr>
          <w:p w14:paraId="7F2CAF21"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Mean</w:t>
            </w:r>
          </w:p>
        </w:tc>
        <w:tc>
          <w:tcPr>
            <w:tcW w:w="1400" w:type="dxa"/>
            <w:tcBorders>
              <w:top w:val="single" w:sz="4" w:space="0" w:color="auto"/>
              <w:left w:val="nil"/>
              <w:bottom w:val="single" w:sz="12" w:space="0" w:color="auto"/>
              <w:right w:val="nil"/>
            </w:tcBorders>
          </w:tcPr>
          <w:p w14:paraId="704777A0"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Std. Dev.</w:t>
            </w:r>
          </w:p>
        </w:tc>
        <w:tc>
          <w:tcPr>
            <w:tcW w:w="1400" w:type="dxa"/>
            <w:tcBorders>
              <w:top w:val="single" w:sz="4" w:space="0" w:color="auto"/>
              <w:left w:val="nil"/>
              <w:bottom w:val="single" w:sz="12" w:space="0" w:color="auto"/>
              <w:right w:val="nil"/>
            </w:tcBorders>
          </w:tcPr>
          <w:p w14:paraId="00C5320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Min</w:t>
            </w:r>
          </w:p>
        </w:tc>
        <w:tc>
          <w:tcPr>
            <w:tcW w:w="1400" w:type="dxa"/>
            <w:tcBorders>
              <w:top w:val="single" w:sz="4" w:space="0" w:color="auto"/>
              <w:left w:val="nil"/>
              <w:bottom w:val="single" w:sz="12" w:space="0" w:color="auto"/>
              <w:right w:val="nil"/>
            </w:tcBorders>
          </w:tcPr>
          <w:p w14:paraId="281D2EF4"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Max</w:t>
            </w:r>
          </w:p>
        </w:tc>
      </w:tr>
      <w:tr w:rsidR="0011664F" w14:paraId="5219ED7F" w14:textId="77777777">
        <w:tc>
          <w:tcPr>
            <w:tcW w:w="2508" w:type="dxa"/>
          </w:tcPr>
          <w:p w14:paraId="2D1592B6"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Investment</w:t>
            </w:r>
          </w:p>
        </w:tc>
        <w:tc>
          <w:tcPr>
            <w:tcW w:w="800" w:type="dxa"/>
          </w:tcPr>
          <w:p w14:paraId="2FAA2C65"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400" w:type="dxa"/>
          </w:tcPr>
          <w:p w14:paraId="2E75F07A"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3.163e+11</w:t>
            </w:r>
          </w:p>
        </w:tc>
        <w:tc>
          <w:tcPr>
            <w:tcW w:w="1400" w:type="dxa"/>
          </w:tcPr>
          <w:p w14:paraId="7D9748FA"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3.761e+10</w:t>
            </w:r>
          </w:p>
        </w:tc>
        <w:tc>
          <w:tcPr>
            <w:tcW w:w="1400" w:type="dxa"/>
          </w:tcPr>
          <w:p w14:paraId="2FD7A06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2.643e+11</w:t>
            </w:r>
          </w:p>
        </w:tc>
        <w:tc>
          <w:tcPr>
            <w:tcW w:w="1400" w:type="dxa"/>
          </w:tcPr>
          <w:p w14:paraId="7E31A87E"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3.608e+11</w:t>
            </w:r>
          </w:p>
        </w:tc>
      </w:tr>
      <w:tr w:rsidR="0011664F" w14:paraId="5A51A47A" w14:textId="77777777">
        <w:tc>
          <w:tcPr>
            <w:tcW w:w="2508" w:type="dxa"/>
          </w:tcPr>
          <w:p w14:paraId="47B90790"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Musharaka</w:t>
            </w:r>
            <w:proofErr w:type="spellEnd"/>
          </w:p>
        </w:tc>
        <w:tc>
          <w:tcPr>
            <w:tcW w:w="800" w:type="dxa"/>
          </w:tcPr>
          <w:p w14:paraId="206404C5"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400" w:type="dxa"/>
          </w:tcPr>
          <w:p w14:paraId="3817AAC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2.044e+08</w:t>
            </w:r>
          </w:p>
        </w:tc>
        <w:tc>
          <w:tcPr>
            <w:tcW w:w="1400" w:type="dxa"/>
          </w:tcPr>
          <w:p w14:paraId="7F00148B"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74580388</w:t>
            </w:r>
          </w:p>
        </w:tc>
        <w:tc>
          <w:tcPr>
            <w:tcW w:w="1400" w:type="dxa"/>
          </w:tcPr>
          <w:p w14:paraId="412120CA"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92639285</w:t>
            </w:r>
          </w:p>
        </w:tc>
        <w:tc>
          <w:tcPr>
            <w:tcW w:w="1400" w:type="dxa"/>
          </w:tcPr>
          <w:p w14:paraId="2EF3CECF"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2.858e+08</w:t>
            </w:r>
          </w:p>
        </w:tc>
      </w:tr>
      <w:tr w:rsidR="0011664F" w14:paraId="4BF9D538" w14:textId="77777777">
        <w:tc>
          <w:tcPr>
            <w:tcW w:w="2508" w:type="dxa"/>
          </w:tcPr>
          <w:p w14:paraId="091FCEE4"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BaiMurabaha</w:t>
            </w:r>
            <w:proofErr w:type="spellEnd"/>
          </w:p>
        </w:tc>
        <w:tc>
          <w:tcPr>
            <w:tcW w:w="800" w:type="dxa"/>
          </w:tcPr>
          <w:p w14:paraId="2450A9E4"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400" w:type="dxa"/>
          </w:tcPr>
          <w:p w14:paraId="459257F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6.368e+09</w:t>
            </w:r>
          </w:p>
        </w:tc>
        <w:tc>
          <w:tcPr>
            <w:tcW w:w="1400" w:type="dxa"/>
          </w:tcPr>
          <w:p w14:paraId="1A463551"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3.745e+09</w:t>
            </w:r>
          </w:p>
        </w:tc>
        <w:tc>
          <w:tcPr>
            <w:tcW w:w="1400" w:type="dxa"/>
          </w:tcPr>
          <w:p w14:paraId="127824F1"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1.124e+09</w:t>
            </w:r>
          </w:p>
        </w:tc>
        <w:tc>
          <w:tcPr>
            <w:tcW w:w="1400" w:type="dxa"/>
          </w:tcPr>
          <w:p w14:paraId="262DF417"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9.783e+09</w:t>
            </w:r>
          </w:p>
        </w:tc>
      </w:tr>
      <w:tr w:rsidR="0011664F" w14:paraId="43852331" w14:textId="77777777">
        <w:tc>
          <w:tcPr>
            <w:tcW w:w="2508" w:type="dxa"/>
          </w:tcPr>
          <w:p w14:paraId="4A75AE65"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Mudaraba</w:t>
            </w:r>
            <w:proofErr w:type="spellEnd"/>
          </w:p>
        </w:tc>
        <w:tc>
          <w:tcPr>
            <w:tcW w:w="800" w:type="dxa"/>
          </w:tcPr>
          <w:p w14:paraId="1FB0257F"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400" w:type="dxa"/>
          </w:tcPr>
          <w:p w14:paraId="439B3395"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3.011e+09</w:t>
            </w:r>
          </w:p>
        </w:tc>
        <w:tc>
          <w:tcPr>
            <w:tcW w:w="1400" w:type="dxa"/>
          </w:tcPr>
          <w:p w14:paraId="3416A8AE"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1.580e+09</w:t>
            </w:r>
          </w:p>
        </w:tc>
        <w:tc>
          <w:tcPr>
            <w:tcW w:w="1400" w:type="dxa"/>
          </w:tcPr>
          <w:p w14:paraId="6451F4F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1.452e+09</w:t>
            </w:r>
          </w:p>
        </w:tc>
        <w:tc>
          <w:tcPr>
            <w:tcW w:w="1400" w:type="dxa"/>
          </w:tcPr>
          <w:p w14:paraId="372FE586"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5.071e+09</w:t>
            </w:r>
          </w:p>
        </w:tc>
      </w:tr>
      <w:tr w:rsidR="0011664F" w14:paraId="67CDB3C2" w14:textId="77777777">
        <w:tc>
          <w:tcPr>
            <w:tcW w:w="2508" w:type="dxa"/>
          </w:tcPr>
          <w:p w14:paraId="65A3DCA6"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BaiMuajjal</w:t>
            </w:r>
            <w:proofErr w:type="spellEnd"/>
          </w:p>
        </w:tc>
        <w:tc>
          <w:tcPr>
            <w:tcW w:w="800" w:type="dxa"/>
          </w:tcPr>
          <w:p w14:paraId="5A54C1F1"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400" w:type="dxa"/>
          </w:tcPr>
          <w:p w14:paraId="00A11B23"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2.059e+11</w:t>
            </w:r>
          </w:p>
        </w:tc>
        <w:tc>
          <w:tcPr>
            <w:tcW w:w="1400" w:type="dxa"/>
          </w:tcPr>
          <w:p w14:paraId="3F9AC65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2.139e+10</w:t>
            </w:r>
          </w:p>
        </w:tc>
        <w:tc>
          <w:tcPr>
            <w:tcW w:w="1400" w:type="dxa"/>
          </w:tcPr>
          <w:p w14:paraId="2FB89D8D"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1.752e+11</w:t>
            </w:r>
          </w:p>
        </w:tc>
        <w:tc>
          <w:tcPr>
            <w:tcW w:w="1400" w:type="dxa"/>
          </w:tcPr>
          <w:p w14:paraId="5880FF44"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2.316e+11</w:t>
            </w:r>
          </w:p>
        </w:tc>
      </w:tr>
      <w:tr w:rsidR="0011664F" w14:paraId="34F25F6D" w14:textId="77777777">
        <w:tc>
          <w:tcPr>
            <w:tcW w:w="2508" w:type="dxa"/>
          </w:tcPr>
          <w:p w14:paraId="5976146F"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Baisalam</w:t>
            </w:r>
            <w:proofErr w:type="spellEnd"/>
          </w:p>
        </w:tc>
        <w:tc>
          <w:tcPr>
            <w:tcW w:w="800" w:type="dxa"/>
          </w:tcPr>
          <w:p w14:paraId="21FAC2F0"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400" w:type="dxa"/>
          </w:tcPr>
          <w:p w14:paraId="2C153825"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6.087e+10</w:t>
            </w:r>
          </w:p>
        </w:tc>
        <w:tc>
          <w:tcPr>
            <w:tcW w:w="1400" w:type="dxa"/>
          </w:tcPr>
          <w:p w14:paraId="4517BDCE"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2.395e+09</w:t>
            </w:r>
          </w:p>
        </w:tc>
        <w:tc>
          <w:tcPr>
            <w:tcW w:w="1400" w:type="dxa"/>
          </w:tcPr>
          <w:p w14:paraId="3AD963E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5.691e+10</w:t>
            </w:r>
          </w:p>
        </w:tc>
        <w:tc>
          <w:tcPr>
            <w:tcW w:w="1400" w:type="dxa"/>
          </w:tcPr>
          <w:p w14:paraId="40DB37A4"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6.288e+10</w:t>
            </w:r>
          </w:p>
        </w:tc>
      </w:tr>
      <w:tr w:rsidR="0011664F" w14:paraId="2932B46A" w14:textId="77777777">
        <w:tc>
          <w:tcPr>
            <w:tcW w:w="2508" w:type="dxa"/>
          </w:tcPr>
          <w:p w14:paraId="5143B210"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HPSM</w:t>
            </w:r>
          </w:p>
        </w:tc>
        <w:tc>
          <w:tcPr>
            <w:tcW w:w="800" w:type="dxa"/>
          </w:tcPr>
          <w:p w14:paraId="2D12E502"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400" w:type="dxa"/>
          </w:tcPr>
          <w:p w14:paraId="48E8455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1.378e+10</w:t>
            </w:r>
          </w:p>
        </w:tc>
        <w:tc>
          <w:tcPr>
            <w:tcW w:w="1400" w:type="dxa"/>
          </w:tcPr>
          <w:p w14:paraId="11B9A6C7"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4.360e+09</w:t>
            </w:r>
          </w:p>
        </w:tc>
        <w:tc>
          <w:tcPr>
            <w:tcW w:w="1400" w:type="dxa"/>
          </w:tcPr>
          <w:p w14:paraId="1A3FD74B"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8.649e+09</w:t>
            </w:r>
          </w:p>
        </w:tc>
        <w:tc>
          <w:tcPr>
            <w:tcW w:w="1400" w:type="dxa"/>
          </w:tcPr>
          <w:p w14:paraId="1E33182A"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1.913e+10</w:t>
            </w:r>
          </w:p>
        </w:tc>
      </w:tr>
      <w:tr w:rsidR="0011664F" w14:paraId="44973E5D" w14:textId="77777777">
        <w:tc>
          <w:tcPr>
            <w:tcW w:w="2508" w:type="dxa"/>
          </w:tcPr>
          <w:p w14:paraId="193FFFFB"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Quard</w:t>
            </w:r>
            <w:proofErr w:type="spellEnd"/>
          </w:p>
        </w:tc>
        <w:tc>
          <w:tcPr>
            <w:tcW w:w="800" w:type="dxa"/>
          </w:tcPr>
          <w:p w14:paraId="474BFFDF"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400" w:type="dxa"/>
          </w:tcPr>
          <w:p w14:paraId="49A3F6F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9.446e+08</w:t>
            </w:r>
          </w:p>
        </w:tc>
        <w:tc>
          <w:tcPr>
            <w:tcW w:w="1400" w:type="dxa"/>
          </w:tcPr>
          <w:p w14:paraId="32470DBF"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2.437e+08</w:t>
            </w:r>
          </w:p>
        </w:tc>
        <w:tc>
          <w:tcPr>
            <w:tcW w:w="1400" w:type="dxa"/>
          </w:tcPr>
          <w:p w14:paraId="6AE716F3"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5.699e+08</w:t>
            </w:r>
          </w:p>
        </w:tc>
        <w:tc>
          <w:tcPr>
            <w:tcW w:w="1400" w:type="dxa"/>
          </w:tcPr>
          <w:p w14:paraId="3E685BD1"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1.205e+09</w:t>
            </w:r>
          </w:p>
        </w:tc>
      </w:tr>
      <w:tr w:rsidR="0011664F" w14:paraId="050BBF2A" w14:textId="77777777">
        <w:tc>
          <w:tcPr>
            <w:tcW w:w="2508" w:type="dxa"/>
          </w:tcPr>
          <w:p w14:paraId="79403CAA"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Staffloan</w:t>
            </w:r>
            <w:proofErr w:type="spellEnd"/>
          </w:p>
        </w:tc>
        <w:tc>
          <w:tcPr>
            <w:tcW w:w="800" w:type="dxa"/>
          </w:tcPr>
          <w:p w14:paraId="30643F84"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400" w:type="dxa"/>
          </w:tcPr>
          <w:p w14:paraId="10E58B3D"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2.177e+09</w:t>
            </w:r>
          </w:p>
        </w:tc>
        <w:tc>
          <w:tcPr>
            <w:tcW w:w="1400" w:type="dxa"/>
          </w:tcPr>
          <w:p w14:paraId="511B664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2.032e+08</w:t>
            </w:r>
          </w:p>
        </w:tc>
        <w:tc>
          <w:tcPr>
            <w:tcW w:w="1400" w:type="dxa"/>
          </w:tcPr>
          <w:p w14:paraId="233041D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1.904e+09</w:t>
            </w:r>
          </w:p>
        </w:tc>
        <w:tc>
          <w:tcPr>
            <w:tcW w:w="1400" w:type="dxa"/>
          </w:tcPr>
          <w:p w14:paraId="0D5B5D02"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2.431e+09</w:t>
            </w:r>
          </w:p>
        </w:tc>
      </w:tr>
      <w:tr w:rsidR="0011664F" w14:paraId="0ACA36FB" w14:textId="77777777">
        <w:tc>
          <w:tcPr>
            <w:tcW w:w="2508" w:type="dxa"/>
          </w:tcPr>
          <w:p w14:paraId="2EB172E5"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Ijara</w:t>
            </w:r>
            <w:proofErr w:type="spellEnd"/>
          </w:p>
        </w:tc>
        <w:tc>
          <w:tcPr>
            <w:tcW w:w="800" w:type="dxa"/>
          </w:tcPr>
          <w:p w14:paraId="68917D5A"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400" w:type="dxa"/>
          </w:tcPr>
          <w:p w14:paraId="3082CE72"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3.897e+08</w:t>
            </w:r>
          </w:p>
        </w:tc>
        <w:tc>
          <w:tcPr>
            <w:tcW w:w="1400" w:type="dxa"/>
          </w:tcPr>
          <w:p w14:paraId="2536C2B5"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2.213e+08</w:t>
            </w:r>
          </w:p>
        </w:tc>
        <w:tc>
          <w:tcPr>
            <w:tcW w:w="1400" w:type="dxa"/>
          </w:tcPr>
          <w:p w14:paraId="40D864AF"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33940637</w:t>
            </w:r>
          </w:p>
        </w:tc>
        <w:tc>
          <w:tcPr>
            <w:tcW w:w="1400" w:type="dxa"/>
          </w:tcPr>
          <w:p w14:paraId="489B59A0"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6.096e+08</w:t>
            </w:r>
          </w:p>
        </w:tc>
      </w:tr>
      <w:tr w:rsidR="0011664F" w14:paraId="0169637F" w14:textId="77777777">
        <w:tc>
          <w:tcPr>
            <w:tcW w:w="2508" w:type="dxa"/>
          </w:tcPr>
          <w:p w14:paraId="0AABE539"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visacard</w:t>
            </w:r>
            <w:proofErr w:type="spellEnd"/>
          </w:p>
        </w:tc>
        <w:tc>
          <w:tcPr>
            <w:tcW w:w="800" w:type="dxa"/>
          </w:tcPr>
          <w:p w14:paraId="7F856B5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400" w:type="dxa"/>
          </w:tcPr>
          <w:p w14:paraId="3C749658"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9.281e+08</w:t>
            </w:r>
          </w:p>
        </w:tc>
        <w:tc>
          <w:tcPr>
            <w:tcW w:w="1400" w:type="dxa"/>
          </w:tcPr>
          <w:p w14:paraId="5FB8736D"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2.171e+08</w:t>
            </w:r>
          </w:p>
        </w:tc>
        <w:tc>
          <w:tcPr>
            <w:tcW w:w="1400" w:type="dxa"/>
          </w:tcPr>
          <w:p w14:paraId="4231050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7.279e+08</w:t>
            </w:r>
          </w:p>
        </w:tc>
        <w:tc>
          <w:tcPr>
            <w:tcW w:w="1400" w:type="dxa"/>
          </w:tcPr>
          <w:p w14:paraId="6D9B7F23"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1.239e+09</w:t>
            </w:r>
          </w:p>
        </w:tc>
      </w:tr>
      <w:tr w:rsidR="0011664F" w14:paraId="6FF89D17" w14:textId="77777777">
        <w:tc>
          <w:tcPr>
            <w:tcW w:w="8908" w:type="dxa"/>
            <w:gridSpan w:val="6"/>
            <w:tcBorders>
              <w:top w:val="single" w:sz="6" w:space="0" w:color="auto"/>
              <w:left w:val="nil"/>
              <w:bottom w:val="nil"/>
              <w:right w:val="nil"/>
            </w:tcBorders>
          </w:tcPr>
          <w:p w14:paraId="431AA354" w14:textId="77777777" w:rsidR="0011664F" w:rsidRDefault="0011664F">
            <w:pPr>
              <w:widowControl w:val="0"/>
              <w:autoSpaceDE w:val="0"/>
              <w:autoSpaceDN w:val="0"/>
              <w:adjustRightInd w:val="0"/>
              <w:spacing w:after="0" w:line="360" w:lineRule="auto"/>
              <w:rPr>
                <w:rFonts w:ascii="Times New Roman" w:hAnsi="Times New Roman" w:cs="Times New Roman"/>
                <w:color w:val="000000" w:themeColor="text1"/>
                <w:sz w:val="24"/>
                <w:szCs w:val="24"/>
              </w:rPr>
            </w:pPr>
          </w:p>
        </w:tc>
      </w:tr>
    </w:tbl>
    <w:p w14:paraId="2FAF5CEA" w14:textId="77777777" w:rsidR="0011664F" w:rsidRDefault="0011664F">
      <w:pPr>
        <w:widowControl w:val="0"/>
        <w:autoSpaceDE w:val="0"/>
        <w:autoSpaceDN w:val="0"/>
        <w:adjustRightInd w:val="0"/>
        <w:spacing w:after="0" w:line="360" w:lineRule="auto"/>
        <w:rPr>
          <w:rFonts w:ascii="Times New Roman" w:hAnsi="Times New Roman" w:cs="Times New Roman"/>
          <w:b/>
          <w:bCs/>
          <w:color w:val="000000" w:themeColor="text1"/>
          <w:sz w:val="24"/>
          <w:szCs w:val="24"/>
        </w:rPr>
      </w:pPr>
    </w:p>
    <w:p w14:paraId="758C43AA" w14:textId="77777777" w:rsidR="0011664F" w:rsidRDefault="0011664F">
      <w:pPr>
        <w:widowControl w:val="0"/>
        <w:autoSpaceDE w:val="0"/>
        <w:autoSpaceDN w:val="0"/>
        <w:adjustRightInd w:val="0"/>
        <w:spacing w:after="0" w:line="360" w:lineRule="auto"/>
        <w:rPr>
          <w:rFonts w:ascii="Times New Roman" w:hAnsi="Times New Roman" w:cs="Times New Roman"/>
          <w:b/>
          <w:bCs/>
          <w:color w:val="000000" w:themeColor="text1"/>
          <w:sz w:val="24"/>
          <w:szCs w:val="24"/>
        </w:rPr>
      </w:pPr>
    </w:p>
    <w:p w14:paraId="210CB59D"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br/>
        <w:t xml:space="preserve">Linear regression </w:t>
      </w:r>
    </w:p>
    <w:tbl>
      <w:tblPr>
        <w:tblW w:w="0" w:type="auto"/>
        <w:tblLayout w:type="fixed"/>
        <w:tblLook w:val="04A0" w:firstRow="1" w:lastRow="0" w:firstColumn="1" w:lastColumn="0" w:noHBand="0" w:noVBand="1"/>
      </w:tblPr>
      <w:tblGrid>
        <w:gridCol w:w="1708"/>
        <w:gridCol w:w="700"/>
        <w:gridCol w:w="500"/>
        <w:gridCol w:w="1200"/>
        <w:gridCol w:w="50"/>
        <w:gridCol w:w="800"/>
        <w:gridCol w:w="900"/>
        <w:gridCol w:w="600"/>
        <w:gridCol w:w="600"/>
        <w:gridCol w:w="1150"/>
        <w:gridCol w:w="50"/>
        <w:gridCol w:w="600"/>
      </w:tblGrid>
      <w:tr w:rsidR="0011664F" w14:paraId="0C3DC45C" w14:textId="77777777">
        <w:tc>
          <w:tcPr>
            <w:tcW w:w="1708" w:type="dxa"/>
            <w:tcBorders>
              <w:top w:val="single" w:sz="4" w:space="0" w:color="auto"/>
              <w:left w:val="nil"/>
              <w:bottom w:val="single" w:sz="8" w:space="0" w:color="auto"/>
              <w:right w:val="nil"/>
            </w:tcBorders>
          </w:tcPr>
          <w:p w14:paraId="7FA00E64"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Investment</w:t>
            </w:r>
          </w:p>
        </w:tc>
        <w:tc>
          <w:tcPr>
            <w:tcW w:w="1200" w:type="dxa"/>
            <w:gridSpan w:val="2"/>
            <w:tcBorders>
              <w:top w:val="single" w:sz="4" w:space="0" w:color="auto"/>
              <w:left w:val="nil"/>
              <w:bottom w:val="single" w:sz="8" w:space="0" w:color="auto"/>
              <w:right w:val="nil"/>
            </w:tcBorders>
          </w:tcPr>
          <w:p w14:paraId="3A5501A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Coef.</w:t>
            </w:r>
          </w:p>
        </w:tc>
        <w:tc>
          <w:tcPr>
            <w:tcW w:w="1200" w:type="dxa"/>
            <w:tcBorders>
              <w:top w:val="single" w:sz="4" w:space="0" w:color="auto"/>
              <w:left w:val="nil"/>
              <w:bottom w:val="single" w:sz="8" w:space="0" w:color="auto"/>
              <w:right w:val="nil"/>
            </w:tcBorders>
          </w:tcPr>
          <w:p w14:paraId="6A2DFA53"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St.Err</w:t>
            </w:r>
            <w:proofErr w:type="spellEnd"/>
            <w:proofErr w:type="gramEnd"/>
            <w:r>
              <w:rPr>
                <w:rFonts w:ascii="Times New Roman" w:hAnsi="Times New Roman" w:cs="Times New Roman"/>
                <w:color w:val="000000" w:themeColor="text1"/>
                <w:sz w:val="24"/>
                <w:szCs w:val="24"/>
              </w:rPr>
              <w:t>.</w:t>
            </w:r>
          </w:p>
        </w:tc>
        <w:tc>
          <w:tcPr>
            <w:tcW w:w="850" w:type="dxa"/>
            <w:gridSpan w:val="2"/>
            <w:tcBorders>
              <w:top w:val="single" w:sz="4" w:space="0" w:color="auto"/>
              <w:left w:val="nil"/>
              <w:bottom w:val="single" w:sz="8" w:space="0" w:color="auto"/>
              <w:right w:val="nil"/>
            </w:tcBorders>
          </w:tcPr>
          <w:p w14:paraId="00E93000"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t-value</w:t>
            </w:r>
          </w:p>
        </w:tc>
        <w:tc>
          <w:tcPr>
            <w:tcW w:w="900" w:type="dxa"/>
            <w:tcBorders>
              <w:top w:val="single" w:sz="4" w:space="0" w:color="auto"/>
              <w:left w:val="nil"/>
              <w:bottom w:val="single" w:sz="8" w:space="0" w:color="auto"/>
              <w:right w:val="nil"/>
            </w:tcBorders>
          </w:tcPr>
          <w:p w14:paraId="0CE32E6B"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p-value</w:t>
            </w:r>
          </w:p>
        </w:tc>
        <w:tc>
          <w:tcPr>
            <w:tcW w:w="1200" w:type="dxa"/>
            <w:gridSpan w:val="2"/>
            <w:tcBorders>
              <w:top w:val="single" w:sz="4" w:space="0" w:color="auto"/>
              <w:left w:val="nil"/>
              <w:bottom w:val="single" w:sz="8" w:space="0" w:color="auto"/>
              <w:right w:val="nil"/>
            </w:tcBorders>
          </w:tcPr>
          <w:p w14:paraId="02787E1E"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[95% Conf</w:t>
            </w:r>
          </w:p>
        </w:tc>
        <w:tc>
          <w:tcPr>
            <w:tcW w:w="1200" w:type="dxa"/>
            <w:gridSpan w:val="2"/>
            <w:tcBorders>
              <w:top w:val="single" w:sz="4" w:space="0" w:color="auto"/>
              <w:left w:val="nil"/>
              <w:bottom w:val="single" w:sz="8" w:space="0" w:color="auto"/>
              <w:right w:val="nil"/>
            </w:tcBorders>
          </w:tcPr>
          <w:p w14:paraId="638AE933"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Interval]</w:t>
            </w:r>
          </w:p>
        </w:tc>
        <w:tc>
          <w:tcPr>
            <w:tcW w:w="600" w:type="dxa"/>
            <w:tcBorders>
              <w:top w:val="single" w:sz="4" w:space="0" w:color="auto"/>
              <w:left w:val="nil"/>
              <w:bottom w:val="single" w:sz="8" w:space="0" w:color="auto"/>
              <w:right w:val="nil"/>
            </w:tcBorders>
          </w:tcPr>
          <w:p w14:paraId="632136B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Sig</w:t>
            </w:r>
          </w:p>
        </w:tc>
      </w:tr>
      <w:tr w:rsidR="0011664F" w14:paraId="6F9EB631" w14:textId="77777777">
        <w:tc>
          <w:tcPr>
            <w:tcW w:w="1708" w:type="dxa"/>
          </w:tcPr>
          <w:p w14:paraId="38A2ACC7"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p>
        </w:tc>
        <w:tc>
          <w:tcPr>
            <w:tcW w:w="1200" w:type="dxa"/>
            <w:gridSpan w:val="2"/>
          </w:tcPr>
          <w:p w14:paraId="53CB2057"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00" w:type="dxa"/>
          </w:tcPr>
          <w:p w14:paraId="32A47F7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850" w:type="dxa"/>
            <w:gridSpan w:val="2"/>
          </w:tcPr>
          <w:p w14:paraId="6BBB24F0"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900" w:type="dxa"/>
          </w:tcPr>
          <w:p w14:paraId="0584FF2E"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5A3E4214"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2179E637"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00" w:type="dxa"/>
          </w:tcPr>
          <w:p w14:paraId="5C818380" w14:textId="77777777" w:rsidR="0011664F" w:rsidRDefault="0011664F">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p>
        </w:tc>
      </w:tr>
      <w:tr w:rsidR="0011664F" w14:paraId="1A191415" w14:textId="77777777">
        <w:tc>
          <w:tcPr>
            <w:tcW w:w="1708" w:type="dxa"/>
          </w:tcPr>
          <w:p w14:paraId="36C056D5"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BaiMurabaha</w:t>
            </w:r>
            <w:proofErr w:type="spellEnd"/>
          </w:p>
        </w:tc>
        <w:tc>
          <w:tcPr>
            <w:tcW w:w="1200" w:type="dxa"/>
            <w:gridSpan w:val="2"/>
          </w:tcPr>
          <w:p w14:paraId="0BD00BEA"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1.128</w:t>
            </w:r>
          </w:p>
        </w:tc>
        <w:tc>
          <w:tcPr>
            <w:tcW w:w="1200" w:type="dxa"/>
          </w:tcPr>
          <w:p w14:paraId="4765BE03"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850" w:type="dxa"/>
            <w:gridSpan w:val="2"/>
          </w:tcPr>
          <w:p w14:paraId="2537672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900" w:type="dxa"/>
          </w:tcPr>
          <w:p w14:paraId="597D6337"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3A540E3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45B260FF"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00" w:type="dxa"/>
          </w:tcPr>
          <w:p w14:paraId="673FEAA1" w14:textId="77777777" w:rsidR="0011664F" w:rsidRDefault="0011664F">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p>
        </w:tc>
      </w:tr>
      <w:tr w:rsidR="0011664F" w14:paraId="73EE7C44" w14:textId="77777777">
        <w:tc>
          <w:tcPr>
            <w:tcW w:w="1708" w:type="dxa"/>
          </w:tcPr>
          <w:p w14:paraId="4F242B31"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Mudaraba</w:t>
            </w:r>
            <w:proofErr w:type="spellEnd"/>
          </w:p>
        </w:tc>
        <w:tc>
          <w:tcPr>
            <w:tcW w:w="1200" w:type="dxa"/>
            <w:gridSpan w:val="2"/>
          </w:tcPr>
          <w:p w14:paraId="3999CE2B"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.852</w:t>
            </w:r>
          </w:p>
        </w:tc>
        <w:tc>
          <w:tcPr>
            <w:tcW w:w="1200" w:type="dxa"/>
          </w:tcPr>
          <w:p w14:paraId="5C871984"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850" w:type="dxa"/>
            <w:gridSpan w:val="2"/>
          </w:tcPr>
          <w:p w14:paraId="45EACB3F"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900" w:type="dxa"/>
          </w:tcPr>
          <w:p w14:paraId="5B84181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759DDD6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4443ECE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00" w:type="dxa"/>
          </w:tcPr>
          <w:p w14:paraId="7CE4E33C" w14:textId="77777777" w:rsidR="0011664F" w:rsidRDefault="0011664F">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p>
        </w:tc>
      </w:tr>
      <w:tr w:rsidR="0011664F" w14:paraId="182A2288" w14:textId="77777777">
        <w:tc>
          <w:tcPr>
            <w:tcW w:w="1708" w:type="dxa"/>
          </w:tcPr>
          <w:p w14:paraId="1F222621"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BaiMuajjal</w:t>
            </w:r>
            <w:proofErr w:type="spellEnd"/>
          </w:p>
        </w:tc>
        <w:tc>
          <w:tcPr>
            <w:tcW w:w="1200" w:type="dxa"/>
            <w:gridSpan w:val="2"/>
          </w:tcPr>
          <w:p w14:paraId="7C1D8957"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-.373</w:t>
            </w:r>
          </w:p>
        </w:tc>
        <w:tc>
          <w:tcPr>
            <w:tcW w:w="1200" w:type="dxa"/>
          </w:tcPr>
          <w:p w14:paraId="142AC824"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850" w:type="dxa"/>
            <w:gridSpan w:val="2"/>
          </w:tcPr>
          <w:p w14:paraId="484CD888"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900" w:type="dxa"/>
          </w:tcPr>
          <w:p w14:paraId="471BAFE0"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0C36EF62"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328A2F43"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00" w:type="dxa"/>
          </w:tcPr>
          <w:p w14:paraId="7A43DAB4" w14:textId="77777777" w:rsidR="0011664F" w:rsidRDefault="0011664F">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p>
        </w:tc>
      </w:tr>
      <w:tr w:rsidR="0011664F" w14:paraId="2BF8E3EA" w14:textId="77777777">
        <w:tc>
          <w:tcPr>
            <w:tcW w:w="1708" w:type="dxa"/>
          </w:tcPr>
          <w:p w14:paraId="237B67B1"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Baisalam</w:t>
            </w:r>
            <w:proofErr w:type="spellEnd"/>
          </w:p>
        </w:tc>
        <w:tc>
          <w:tcPr>
            <w:tcW w:w="1200" w:type="dxa"/>
            <w:gridSpan w:val="2"/>
          </w:tcPr>
          <w:p w14:paraId="5045B230"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.367</w:t>
            </w:r>
          </w:p>
        </w:tc>
        <w:tc>
          <w:tcPr>
            <w:tcW w:w="1200" w:type="dxa"/>
          </w:tcPr>
          <w:p w14:paraId="1CD1C0D1"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850" w:type="dxa"/>
            <w:gridSpan w:val="2"/>
          </w:tcPr>
          <w:p w14:paraId="35DEE28D"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900" w:type="dxa"/>
          </w:tcPr>
          <w:p w14:paraId="42A5FFC8"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75527D36"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789A6D7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00" w:type="dxa"/>
          </w:tcPr>
          <w:p w14:paraId="57672B67" w14:textId="77777777" w:rsidR="0011664F" w:rsidRDefault="0011664F">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p>
        </w:tc>
      </w:tr>
      <w:tr w:rsidR="0011664F" w14:paraId="35B970B3" w14:textId="77777777">
        <w:tc>
          <w:tcPr>
            <w:tcW w:w="1708" w:type="dxa"/>
          </w:tcPr>
          <w:p w14:paraId="064C4527"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p>
        </w:tc>
        <w:tc>
          <w:tcPr>
            <w:tcW w:w="1200" w:type="dxa"/>
            <w:gridSpan w:val="2"/>
          </w:tcPr>
          <w:p w14:paraId="3705A50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00" w:type="dxa"/>
          </w:tcPr>
          <w:p w14:paraId="6E992920"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850" w:type="dxa"/>
            <w:gridSpan w:val="2"/>
          </w:tcPr>
          <w:p w14:paraId="04CBAF2F"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900" w:type="dxa"/>
          </w:tcPr>
          <w:p w14:paraId="150C499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1370AD9B"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64C0D52B"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00" w:type="dxa"/>
          </w:tcPr>
          <w:p w14:paraId="54BEC5DC" w14:textId="77777777" w:rsidR="0011664F" w:rsidRDefault="0011664F">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p>
        </w:tc>
      </w:tr>
      <w:tr w:rsidR="0011664F" w14:paraId="44ADD605" w14:textId="77777777">
        <w:tc>
          <w:tcPr>
            <w:tcW w:w="1708" w:type="dxa"/>
          </w:tcPr>
          <w:p w14:paraId="26254C75"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p>
        </w:tc>
        <w:tc>
          <w:tcPr>
            <w:tcW w:w="1200" w:type="dxa"/>
            <w:gridSpan w:val="2"/>
          </w:tcPr>
          <w:p w14:paraId="7FF2FEA4"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00" w:type="dxa"/>
          </w:tcPr>
          <w:p w14:paraId="281FC720"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850" w:type="dxa"/>
            <w:gridSpan w:val="2"/>
          </w:tcPr>
          <w:p w14:paraId="6626DFAE"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900" w:type="dxa"/>
          </w:tcPr>
          <w:p w14:paraId="7C5FF3DE"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081B8DCD"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241BB895"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00" w:type="dxa"/>
          </w:tcPr>
          <w:p w14:paraId="5684EE11" w14:textId="77777777" w:rsidR="0011664F" w:rsidRDefault="0011664F">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p>
        </w:tc>
      </w:tr>
      <w:tr w:rsidR="0011664F" w14:paraId="14097BD3" w14:textId="77777777">
        <w:tc>
          <w:tcPr>
            <w:tcW w:w="1708" w:type="dxa"/>
          </w:tcPr>
          <w:p w14:paraId="5BF86178"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p>
        </w:tc>
        <w:tc>
          <w:tcPr>
            <w:tcW w:w="1200" w:type="dxa"/>
            <w:gridSpan w:val="2"/>
          </w:tcPr>
          <w:p w14:paraId="62C028C2"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00" w:type="dxa"/>
          </w:tcPr>
          <w:p w14:paraId="00E89776"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850" w:type="dxa"/>
            <w:gridSpan w:val="2"/>
          </w:tcPr>
          <w:p w14:paraId="76073C71"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900" w:type="dxa"/>
          </w:tcPr>
          <w:p w14:paraId="0EA6AC32"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2B28C3D2"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55ED17F8"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00" w:type="dxa"/>
          </w:tcPr>
          <w:p w14:paraId="03BD6648" w14:textId="77777777" w:rsidR="0011664F" w:rsidRDefault="0011664F">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p>
        </w:tc>
      </w:tr>
      <w:tr w:rsidR="0011664F" w14:paraId="5EFC2A77" w14:textId="77777777">
        <w:tc>
          <w:tcPr>
            <w:tcW w:w="1708" w:type="dxa"/>
          </w:tcPr>
          <w:p w14:paraId="4AE012D0"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p>
        </w:tc>
        <w:tc>
          <w:tcPr>
            <w:tcW w:w="1200" w:type="dxa"/>
            <w:gridSpan w:val="2"/>
          </w:tcPr>
          <w:p w14:paraId="113E8224"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00" w:type="dxa"/>
          </w:tcPr>
          <w:p w14:paraId="26136AFB"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850" w:type="dxa"/>
            <w:gridSpan w:val="2"/>
          </w:tcPr>
          <w:p w14:paraId="51FBF91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900" w:type="dxa"/>
          </w:tcPr>
          <w:p w14:paraId="4A900CB9"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1344EA7A"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55E418EB"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00" w:type="dxa"/>
          </w:tcPr>
          <w:p w14:paraId="2A9CDDF8" w14:textId="77777777" w:rsidR="0011664F" w:rsidRDefault="0011664F">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p>
        </w:tc>
      </w:tr>
      <w:tr w:rsidR="0011664F" w14:paraId="09BD0DD7" w14:textId="77777777">
        <w:tc>
          <w:tcPr>
            <w:tcW w:w="1708" w:type="dxa"/>
          </w:tcPr>
          <w:p w14:paraId="0AF5F9FD"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Constant</w:t>
            </w:r>
          </w:p>
        </w:tc>
        <w:tc>
          <w:tcPr>
            <w:tcW w:w="1200" w:type="dxa"/>
            <w:gridSpan w:val="2"/>
          </w:tcPr>
          <w:p w14:paraId="198421D3"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.322</w:t>
            </w:r>
          </w:p>
        </w:tc>
        <w:tc>
          <w:tcPr>
            <w:tcW w:w="1200" w:type="dxa"/>
          </w:tcPr>
          <w:p w14:paraId="7D1256FE"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850" w:type="dxa"/>
            <w:gridSpan w:val="2"/>
          </w:tcPr>
          <w:p w14:paraId="43A04915"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900" w:type="dxa"/>
          </w:tcPr>
          <w:p w14:paraId="77207960"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33DD5468"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00" w:type="dxa"/>
            <w:gridSpan w:val="2"/>
          </w:tcPr>
          <w:p w14:paraId="4CFBEF6C"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00" w:type="dxa"/>
          </w:tcPr>
          <w:p w14:paraId="781CF3AC" w14:textId="77777777" w:rsidR="0011664F" w:rsidRDefault="0011664F">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p>
        </w:tc>
      </w:tr>
      <w:tr w:rsidR="0011664F" w14:paraId="113EEFB7" w14:textId="77777777">
        <w:trPr>
          <w:trHeight w:val="837"/>
        </w:trPr>
        <w:tc>
          <w:tcPr>
            <w:tcW w:w="8858" w:type="dxa"/>
            <w:gridSpan w:val="12"/>
            <w:tcBorders>
              <w:top w:val="nil"/>
              <w:left w:val="nil"/>
              <w:bottom w:val="single" w:sz="4" w:space="0" w:color="auto"/>
              <w:right w:val="nil"/>
            </w:tcBorders>
          </w:tcPr>
          <w:p w14:paraId="34C8AA6D" w14:textId="77777777" w:rsidR="0011664F" w:rsidRDefault="0011664F">
            <w:pPr>
              <w:widowControl w:val="0"/>
              <w:autoSpaceDE w:val="0"/>
              <w:autoSpaceDN w:val="0"/>
              <w:adjustRightInd w:val="0"/>
              <w:spacing w:after="0" w:line="360" w:lineRule="auto"/>
              <w:rPr>
                <w:rFonts w:ascii="Times New Roman" w:hAnsi="Times New Roman" w:cs="Times New Roman"/>
                <w:color w:val="000000" w:themeColor="text1"/>
                <w:sz w:val="24"/>
                <w:szCs w:val="24"/>
              </w:rPr>
            </w:pPr>
          </w:p>
        </w:tc>
      </w:tr>
      <w:tr w:rsidR="0011664F" w14:paraId="16DFB6D9" w14:textId="77777777">
        <w:trPr>
          <w:gridAfter w:val="2"/>
          <w:wAfter w:w="650" w:type="dxa"/>
        </w:trPr>
        <w:tc>
          <w:tcPr>
            <w:tcW w:w="2408" w:type="dxa"/>
            <w:gridSpan w:val="2"/>
          </w:tcPr>
          <w:p w14:paraId="367F0A56"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Mean dependent var</w:t>
            </w:r>
          </w:p>
        </w:tc>
        <w:tc>
          <w:tcPr>
            <w:tcW w:w="1750" w:type="dxa"/>
            <w:gridSpan w:val="3"/>
          </w:tcPr>
          <w:p w14:paraId="42BC4A54"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0.200</w:t>
            </w:r>
          </w:p>
        </w:tc>
        <w:tc>
          <w:tcPr>
            <w:tcW w:w="2300" w:type="dxa"/>
            <w:gridSpan w:val="3"/>
          </w:tcPr>
          <w:p w14:paraId="4C7C3E20"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SD dependent var </w:t>
            </w:r>
          </w:p>
        </w:tc>
        <w:tc>
          <w:tcPr>
            <w:tcW w:w="1750" w:type="dxa"/>
            <w:gridSpan w:val="2"/>
          </w:tcPr>
          <w:p w14:paraId="556821A6"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0.024</w:t>
            </w:r>
          </w:p>
        </w:tc>
      </w:tr>
      <w:tr w:rsidR="0011664F" w14:paraId="1384A2A3" w14:textId="77777777">
        <w:trPr>
          <w:gridAfter w:val="2"/>
          <w:wAfter w:w="650" w:type="dxa"/>
        </w:trPr>
        <w:tc>
          <w:tcPr>
            <w:tcW w:w="2408" w:type="dxa"/>
            <w:gridSpan w:val="2"/>
          </w:tcPr>
          <w:p w14:paraId="1F7658A2"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R-squared </w:t>
            </w:r>
          </w:p>
        </w:tc>
        <w:tc>
          <w:tcPr>
            <w:tcW w:w="1750" w:type="dxa"/>
            <w:gridSpan w:val="3"/>
          </w:tcPr>
          <w:p w14:paraId="1A33025D"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1.000</w:t>
            </w:r>
          </w:p>
        </w:tc>
        <w:tc>
          <w:tcPr>
            <w:tcW w:w="2300" w:type="dxa"/>
            <w:gridSpan w:val="3"/>
          </w:tcPr>
          <w:p w14:paraId="31EE7683"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Number of </w:t>
            </w:r>
            <w:proofErr w:type="spellStart"/>
            <w:r>
              <w:rPr>
                <w:rFonts w:ascii="Times New Roman" w:hAnsi="Times New Roman" w:cs="Times New Roman"/>
                <w:color w:val="000000" w:themeColor="text1"/>
                <w:sz w:val="24"/>
                <w:szCs w:val="24"/>
              </w:rPr>
              <w:t>obs</w:t>
            </w:r>
            <w:proofErr w:type="spellEnd"/>
            <w:r>
              <w:rPr>
                <w:rFonts w:ascii="Times New Roman" w:hAnsi="Times New Roman" w:cs="Times New Roman"/>
                <w:color w:val="000000" w:themeColor="text1"/>
                <w:sz w:val="24"/>
                <w:szCs w:val="24"/>
              </w:rPr>
              <w:t xml:space="preserve">  </w:t>
            </w:r>
          </w:p>
        </w:tc>
        <w:tc>
          <w:tcPr>
            <w:tcW w:w="1750" w:type="dxa"/>
            <w:gridSpan w:val="2"/>
          </w:tcPr>
          <w:p w14:paraId="2445596E"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11664F" w14:paraId="2D6823FD" w14:textId="77777777">
        <w:trPr>
          <w:gridAfter w:val="2"/>
          <w:wAfter w:w="650" w:type="dxa"/>
        </w:trPr>
        <w:tc>
          <w:tcPr>
            <w:tcW w:w="2408" w:type="dxa"/>
            <w:gridSpan w:val="2"/>
          </w:tcPr>
          <w:p w14:paraId="625FFA3D"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F-test  </w:t>
            </w:r>
          </w:p>
        </w:tc>
        <w:tc>
          <w:tcPr>
            <w:tcW w:w="1750" w:type="dxa"/>
            <w:gridSpan w:val="3"/>
          </w:tcPr>
          <w:p w14:paraId="170FEAC0"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2300" w:type="dxa"/>
            <w:gridSpan w:val="3"/>
          </w:tcPr>
          <w:p w14:paraId="58AD9380"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Prob &gt; F </w:t>
            </w:r>
          </w:p>
        </w:tc>
        <w:tc>
          <w:tcPr>
            <w:tcW w:w="1750" w:type="dxa"/>
            <w:gridSpan w:val="2"/>
          </w:tcPr>
          <w:p w14:paraId="160087D8" w14:textId="77777777" w:rsidR="0011664F" w:rsidRDefault="00000000">
            <w:pPr>
              <w:widowControl w:val="0"/>
              <w:autoSpaceDE w:val="0"/>
              <w:autoSpaceDN w:val="0"/>
              <w:adjustRightInd w:val="0"/>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11664F" w14:paraId="2A5AD29B" w14:textId="77777777">
        <w:tc>
          <w:tcPr>
            <w:tcW w:w="8858" w:type="dxa"/>
            <w:gridSpan w:val="12"/>
            <w:tcBorders>
              <w:top w:val="single" w:sz="6" w:space="0" w:color="auto"/>
              <w:left w:val="nil"/>
              <w:bottom w:val="nil"/>
              <w:right w:val="nil"/>
            </w:tcBorders>
          </w:tcPr>
          <w:p w14:paraId="0F39756F" w14:textId="77777777" w:rsidR="0011664F" w:rsidRDefault="00000000">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 p&lt;.01, ** p&lt;.05, * p&lt;.1</w:t>
            </w:r>
          </w:p>
        </w:tc>
      </w:tr>
      <w:tr w:rsidR="0011664F" w14:paraId="4C4862F4" w14:textId="77777777">
        <w:tc>
          <w:tcPr>
            <w:tcW w:w="8858" w:type="dxa"/>
            <w:gridSpan w:val="12"/>
          </w:tcPr>
          <w:p w14:paraId="794E4F62" w14:textId="77777777" w:rsidR="0011664F" w:rsidRDefault="0011664F">
            <w:pPr>
              <w:widowControl w:val="0"/>
              <w:autoSpaceDE w:val="0"/>
              <w:autoSpaceDN w:val="0"/>
              <w:adjustRightInd w:val="0"/>
              <w:spacing w:after="0" w:line="360" w:lineRule="auto"/>
              <w:rPr>
                <w:rFonts w:ascii="Times New Roman" w:hAnsi="Times New Roman" w:cs="Times New Roman"/>
                <w:color w:val="000000" w:themeColor="text1"/>
                <w:sz w:val="24"/>
                <w:szCs w:val="24"/>
              </w:rPr>
            </w:pPr>
          </w:p>
        </w:tc>
      </w:tr>
    </w:tbl>
    <w:p w14:paraId="10090A54" w14:textId="77777777" w:rsidR="0011664F" w:rsidRDefault="00000000">
      <w:pPr>
        <w:pStyle w:val="NormalWeb"/>
        <w:spacing w:line="360" w:lineRule="auto"/>
        <w:jc w:val="both"/>
        <w:rPr>
          <w:color w:val="000000" w:themeColor="text1"/>
          <w:lang w:val="en-US"/>
        </w:rPr>
      </w:pPr>
      <w:r>
        <w:rPr>
          <w:color w:val="000000" w:themeColor="text1"/>
        </w:rPr>
        <w:t>The provided statistical outputs appear to be from multiple analyses, including Wooldridge tests for autocorrelation in panel data, linear regression results, and descriptive statistics. Here’s a breakdown and interpretation of each section:</w:t>
      </w:r>
    </w:p>
    <w:p w14:paraId="45DDEA45" w14:textId="77777777" w:rsidR="0011664F" w:rsidRDefault="00000000">
      <w:pPr>
        <w:pStyle w:val="Heading3"/>
        <w:spacing w:line="360" w:lineRule="auto"/>
        <w:rPr>
          <w:color w:val="000000" w:themeColor="text1"/>
          <w:sz w:val="24"/>
          <w:szCs w:val="24"/>
        </w:rPr>
      </w:pPr>
      <w:r>
        <w:rPr>
          <w:color w:val="000000" w:themeColor="text1"/>
          <w:sz w:val="24"/>
          <w:szCs w:val="24"/>
        </w:rPr>
        <w:t>Wooldridge Test for Autocorrelation in Panel Data</w:t>
      </w:r>
    </w:p>
    <w:p w14:paraId="6D7123EB" w14:textId="77777777" w:rsidR="0011664F" w:rsidRDefault="00000000">
      <w:pPr>
        <w:pStyle w:val="NormalWeb"/>
        <w:spacing w:line="360" w:lineRule="auto"/>
        <w:jc w:val="both"/>
        <w:rPr>
          <w:color w:val="000000" w:themeColor="text1"/>
        </w:rPr>
      </w:pPr>
      <w:r>
        <w:rPr>
          <w:color w:val="000000" w:themeColor="text1"/>
        </w:rPr>
        <w:t>The Wooldridge test checks for the presence of first-order autocorrelation in panel data.</w:t>
      </w:r>
    </w:p>
    <w:p w14:paraId="287BD9D2" w14:textId="77777777" w:rsidR="0011664F" w:rsidRDefault="00000000">
      <w:pPr>
        <w:pStyle w:val="Heading4"/>
        <w:spacing w:line="360" w:lineRule="auto"/>
        <w:rPr>
          <w:color w:val="000000" w:themeColor="text1"/>
        </w:rPr>
      </w:pPr>
      <w:r>
        <w:rPr>
          <w:color w:val="000000" w:themeColor="text1"/>
        </w:rPr>
        <w:t>First Test:</w:t>
      </w:r>
    </w:p>
    <w:p w14:paraId="3260130C" w14:textId="77777777" w:rsidR="0011664F" w:rsidRDefault="00000000">
      <w:pPr>
        <w:numPr>
          <w:ilvl w:val="0"/>
          <w:numId w:val="9"/>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0.8070 H0 (Null Hypothesis):</w:t>
      </w:r>
      <w:r>
        <w:rPr>
          <w:rFonts w:ascii="Times New Roman" w:hAnsi="Times New Roman" w:cs="Times New Roman"/>
          <w:color w:val="000000" w:themeColor="text1"/>
          <w:sz w:val="24"/>
          <w:szCs w:val="24"/>
        </w:rPr>
        <w:t xml:space="preserve"> No first-order autocorrelation.</w:t>
      </w:r>
    </w:p>
    <w:p w14:paraId="2AC79152" w14:textId="77777777" w:rsidR="0011664F" w:rsidRDefault="00000000">
      <w:pPr>
        <w:numPr>
          <w:ilvl w:val="0"/>
          <w:numId w:val="9"/>
        </w:numPr>
        <w:spacing w:before="100" w:beforeAutospacing="1" w:after="100" w:afterAutospacing="1" w:line="360" w:lineRule="auto"/>
        <w:rPr>
          <w:rFonts w:ascii="Times New Roman" w:hAnsi="Times New Roman" w:cs="Times New Roman"/>
          <w:color w:val="000000" w:themeColor="text1"/>
          <w:sz w:val="24"/>
          <w:szCs w:val="24"/>
        </w:rPr>
      </w:pPr>
      <w:proofErr w:type="gramStart"/>
      <w:r>
        <w:rPr>
          <w:rStyle w:val="Strong"/>
          <w:rFonts w:ascii="Times New Roman" w:hAnsi="Times New Roman" w:cs="Times New Roman"/>
          <w:color w:val="000000" w:themeColor="text1"/>
          <w:sz w:val="24"/>
          <w:szCs w:val="24"/>
        </w:rPr>
        <w:t>F(</w:t>
      </w:r>
      <w:proofErr w:type="gramEnd"/>
      <w:r>
        <w:rPr>
          <w:rStyle w:val="Strong"/>
          <w:rFonts w:ascii="Times New Roman" w:hAnsi="Times New Roman" w:cs="Times New Roman"/>
          <w:color w:val="000000" w:themeColor="text1"/>
          <w:sz w:val="24"/>
          <w:szCs w:val="24"/>
        </w:rPr>
        <w:t>1, 29) = 0.061</w:t>
      </w:r>
    </w:p>
    <w:p w14:paraId="451EC816" w14:textId="77777777" w:rsidR="0011664F" w:rsidRDefault="00000000">
      <w:pPr>
        <w:numPr>
          <w:ilvl w:val="0"/>
          <w:numId w:val="9"/>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Prob &gt; F =</w:t>
      </w:r>
    </w:p>
    <w:p w14:paraId="48EED0E7" w14:textId="77777777" w:rsidR="0011664F" w:rsidRDefault="00000000">
      <w:pPr>
        <w:pStyle w:val="NormalWeb"/>
        <w:spacing w:line="360" w:lineRule="auto"/>
        <w:jc w:val="both"/>
        <w:rPr>
          <w:color w:val="000000" w:themeColor="text1"/>
        </w:rPr>
      </w:pPr>
      <w:r>
        <w:rPr>
          <w:color w:val="000000" w:themeColor="text1"/>
        </w:rPr>
        <w:t>The p-value is 0.8070, which is much higher than 0.05, so we fail to reject the null hypothesis, indicating no significant autocorrelation.</w:t>
      </w:r>
    </w:p>
    <w:p w14:paraId="0CD110C0" w14:textId="77777777" w:rsidR="0011664F" w:rsidRDefault="00000000">
      <w:pPr>
        <w:pStyle w:val="Heading4"/>
        <w:spacing w:line="360" w:lineRule="auto"/>
        <w:rPr>
          <w:color w:val="000000" w:themeColor="text1"/>
        </w:rPr>
      </w:pPr>
      <w:r>
        <w:rPr>
          <w:color w:val="000000" w:themeColor="text1"/>
        </w:rPr>
        <w:t>Second Test:</w:t>
      </w:r>
    </w:p>
    <w:p w14:paraId="4B7C5FA1" w14:textId="77777777" w:rsidR="0011664F" w:rsidRDefault="00000000">
      <w:pPr>
        <w:numPr>
          <w:ilvl w:val="0"/>
          <w:numId w:val="10"/>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H0 (Null Hypothesis):</w:t>
      </w:r>
      <w:r>
        <w:rPr>
          <w:rFonts w:ascii="Times New Roman" w:hAnsi="Times New Roman" w:cs="Times New Roman"/>
          <w:color w:val="000000" w:themeColor="text1"/>
          <w:sz w:val="24"/>
          <w:szCs w:val="24"/>
        </w:rPr>
        <w:t xml:space="preserve"> No first-order autocorrelation.</w:t>
      </w:r>
    </w:p>
    <w:p w14:paraId="7D6D8112" w14:textId="77777777" w:rsidR="0011664F" w:rsidRDefault="00000000">
      <w:pPr>
        <w:numPr>
          <w:ilvl w:val="0"/>
          <w:numId w:val="10"/>
        </w:numPr>
        <w:spacing w:before="100" w:beforeAutospacing="1" w:after="100" w:afterAutospacing="1" w:line="360" w:lineRule="auto"/>
        <w:rPr>
          <w:rFonts w:ascii="Times New Roman" w:hAnsi="Times New Roman" w:cs="Times New Roman"/>
          <w:color w:val="000000" w:themeColor="text1"/>
          <w:sz w:val="24"/>
          <w:szCs w:val="24"/>
        </w:rPr>
      </w:pPr>
      <w:proofErr w:type="gramStart"/>
      <w:r>
        <w:rPr>
          <w:rStyle w:val="Strong"/>
          <w:rFonts w:ascii="Times New Roman" w:hAnsi="Times New Roman" w:cs="Times New Roman"/>
          <w:color w:val="000000" w:themeColor="text1"/>
          <w:sz w:val="24"/>
          <w:szCs w:val="24"/>
        </w:rPr>
        <w:t>F(</w:t>
      </w:r>
      <w:proofErr w:type="gramEnd"/>
      <w:r>
        <w:rPr>
          <w:rStyle w:val="Strong"/>
          <w:rFonts w:ascii="Times New Roman" w:hAnsi="Times New Roman" w:cs="Times New Roman"/>
          <w:color w:val="000000" w:themeColor="text1"/>
          <w:sz w:val="24"/>
          <w:szCs w:val="24"/>
        </w:rPr>
        <w:t>1, 29) = 38.193</w:t>
      </w:r>
    </w:p>
    <w:p w14:paraId="6CFD8AB8" w14:textId="77777777" w:rsidR="0011664F" w:rsidRDefault="00000000">
      <w:pPr>
        <w:numPr>
          <w:ilvl w:val="0"/>
          <w:numId w:val="10"/>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Prob &gt; F = 0.0000</w:t>
      </w:r>
    </w:p>
    <w:p w14:paraId="55BFA65C" w14:textId="77777777" w:rsidR="0011664F" w:rsidRDefault="00000000">
      <w:pPr>
        <w:pStyle w:val="NormalWeb"/>
        <w:spacing w:line="360" w:lineRule="auto"/>
        <w:jc w:val="both"/>
        <w:rPr>
          <w:color w:val="000000" w:themeColor="text1"/>
        </w:rPr>
      </w:pPr>
      <w:r>
        <w:rPr>
          <w:color w:val="000000" w:themeColor="text1"/>
        </w:rPr>
        <w:t>The p-value is 0.0000, which is less than 0.05, so we reject the null hypothesis, indicating significant first-order autocorrelation.</w:t>
      </w:r>
    </w:p>
    <w:p w14:paraId="345DF874" w14:textId="77777777" w:rsidR="0011664F" w:rsidRDefault="00000000">
      <w:pPr>
        <w:pStyle w:val="Heading4"/>
        <w:spacing w:line="360" w:lineRule="auto"/>
        <w:rPr>
          <w:color w:val="000000" w:themeColor="text1"/>
        </w:rPr>
      </w:pPr>
      <w:r>
        <w:rPr>
          <w:color w:val="000000" w:themeColor="text1"/>
        </w:rPr>
        <w:t>Third Test:</w:t>
      </w:r>
    </w:p>
    <w:p w14:paraId="14115C99" w14:textId="77777777" w:rsidR="0011664F" w:rsidRDefault="00000000">
      <w:pPr>
        <w:numPr>
          <w:ilvl w:val="0"/>
          <w:numId w:val="11"/>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lastRenderedPageBreak/>
        <w:t>H0 (Null Hypothesis):</w:t>
      </w:r>
      <w:r>
        <w:rPr>
          <w:rFonts w:ascii="Times New Roman" w:hAnsi="Times New Roman" w:cs="Times New Roman"/>
          <w:color w:val="000000" w:themeColor="text1"/>
          <w:sz w:val="24"/>
          <w:szCs w:val="24"/>
        </w:rPr>
        <w:t xml:space="preserve"> No first-order autocorrelation.</w:t>
      </w:r>
    </w:p>
    <w:p w14:paraId="791A26FB" w14:textId="77777777" w:rsidR="0011664F" w:rsidRDefault="00000000">
      <w:pPr>
        <w:numPr>
          <w:ilvl w:val="0"/>
          <w:numId w:val="11"/>
        </w:numPr>
        <w:spacing w:before="100" w:beforeAutospacing="1" w:after="100" w:afterAutospacing="1" w:line="360" w:lineRule="auto"/>
        <w:rPr>
          <w:rFonts w:ascii="Times New Roman" w:hAnsi="Times New Roman" w:cs="Times New Roman"/>
          <w:color w:val="000000" w:themeColor="text1"/>
          <w:sz w:val="24"/>
          <w:szCs w:val="24"/>
        </w:rPr>
      </w:pPr>
      <w:proofErr w:type="gramStart"/>
      <w:r>
        <w:rPr>
          <w:rStyle w:val="Strong"/>
          <w:rFonts w:ascii="Times New Roman" w:hAnsi="Times New Roman" w:cs="Times New Roman"/>
          <w:color w:val="000000" w:themeColor="text1"/>
          <w:sz w:val="24"/>
          <w:szCs w:val="24"/>
        </w:rPr>
        <w:t>F(</w:t>
      </w:r>
      <w:proofErr w:type="gramEnd"/>
      <w:r>
        <w:rPr>
          <w:rStyle w:val="Strong"/>
          <w:rFonts w:ascii="Times New Roman" w:hAnsi="Times New Roman" w:cs="Times New Roman"/>
          <w:color w:val="000000" w:themeColor="text1"/>
          <w:sz w:val="24"/>
          <w:szCs w:val="24"/>
        </w:rPr>
        <w:t>1, 6) = 21.534</w:t>
      </w:r>
    </w:p>
    <w:p w14:paraId="7B565D5F" w14:textId="77777777" w:rsidR="0011664F" w:rsidRDefault="00000000">
      <w:pPr>
        <w:numPr>
          <w:ilvl w:val="0"/>
          <w:numId w:val="11"/>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Prob &gt; F = 0.0035</w:t>
      </w:r>
    </w:p>
    <w:p w14:paraId="3B48FED2" w14:textId="77777777" w:rsidR="0011664F" w:rsidRDefault="00000000">
      <w:pPr>
        <w:pStyle w:val="NormalWeb"/>
        <w:spacing w:line="360" w:lineRule="auto"/>
        <w:jc w:val="both"/>
        <w:rPr>
          <w:color w:val="000000" w:themeColor="text1"/>
        </w:rPr>
      </w:pPr>
      <w:r>
        <w:rPr>
          <w:color w:val="000000" w:themeColor="text1"/>
        </w:rPr>
        <w:t>The p-value is 0.0035, which is less than 0.05, so we reject the null hypothesis, indicating significant first-order autocorrelation.</w:t>
      </w:r>
    </w:p>
    <w:p w14:paraId="7A649B1F" w14:textId="77777777" w:rsidR="0011664F" w:rsidRDefault="00000000">
      <w:pPr>
        <w:pStyle w:val="Heading3"/>
        <w:spacing w:line="360" w:lineRule="auto"/>
        <w:rPr>
          <w:color w:val="000000" w:themeColor="text1"/>
          <w:sz w:val="24"/>
          <w:szCs w:val="24"/>
        </w:rPr>
      </w:pPr>
      <w:r>
        <w:rPr>
          <w:color w:val="000000" w:themeColor="text1"/>
          <w:sz w:val="24"/>
          <w:szCs w:val="24"/>
        </w:rPr>
        <w:t>Linear Regression Results</w:t>
      </w:r>
    </w:p>
    <w:p w14:paraId="009FF67E" w14:textId="77777777" w:rsidR="0011664F" w:rsidRDefault="00000000">
      <w:pPr>
        <w:pStyle w:val="NormalWeb"/>
        <w:spacing w:line="360" w:lineRule="auto"/>
        <w:rPr>
          <w:color w:val="000000" w:themeColor="text1"/>
        </w:rPr>
      </w:pPr>
      <w:r>
        <w:rPr>
          <w:color w:val="000000" w:themeColor="text1"/>
        </w:rPr>
        <w:t>This output represents two linear regression models with different sets of predictors.</w:t>
      </w:r>
    </w:p>
    <w:p w14:paraId="13BFE790" w14:textId="77777777" w:rsidR="0011664F" w:rsidRDefault="00000000">
      <w:pPr>
        <w:pStyle w:val="Heading4"/>
        <w:spacing w:line="360" w:lineRule="auto"/>
        <w:rPr>
          <w:color w:val="000000" w:themeColor="text1"/>
        </w:rPr>
      </w:pPr>
      <w:r>
        <w:rPr>
          <w:color w:val="000000" w:themeColor="text1"/>
        </w:rPr>
        <w:t>First Model:</w:t>
      </w:r>
    </w:p>
    <w:p w14:paraId="44234419" w14:textId="77777777" w:rsidR="0011664F" w:rsidRDefault="00000000">
      <w:pPr>
        <w:pStyle w:val="NormalWeb"/>
        <w:spacing w:line="360" w:lineRule="auto"/>
        <w:rPr>
          <w:color w:val="000000" w:themeColor="text1"/>
        </w:rPr>
      </w:pPr>
      <w:r>
        <w:rPr>
          <w:color w:val="000000" w:themeColor="text1"/>
        </w:rPr>
        <w:t>Dependent variable: Likely some measure of financial performance (MPPS).</w:t>
      </w:r>
    </w:p>
    <w:p w14:paraId="17F84EAF" w14:textId="77777777" w:rsidR="0011664F" w:rsidRDefault="00000000">
      <w:pPr>
        <w:numPr>
          <w:ilvl w:val="0"/>
          <w:numId w:val="12"/>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EPS (Earnings Per Share):</w:t>
      </w:r>
      <w:r>
        <w:rPr>
          <w:rFonts w:ascii="Times New Roman" w:hAnsi="Times New Roman" w:cs="Times New Roman"/>
          <w:color w:val="000000" w:themeColor="text1"/>
          <w:sz w:val="24"/>
          <w:szCs w:val="24"/>
        </w:rPr>
        <w:t xml:space="preserve"> Coefficient = 11.18, significant at 1% level (p &lt; 0.01).</w:t>
      </w:r>
    </w:p>
    <w:p w14:paraId="2BEF5868" w14:textId="77777777" w:rsidR="0011664F" w:rsidRDefault="00000000">
      <w:pPr>
        <w:numPr>
          <w:ilvl w:val="0"/>
          <w:numId w:val="12"/>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NAVPS (Net Asset Value Per Share):</w:t>
      </w:r>
      <w:r>
        <w:rPr>
          <w:rFonts w:ascii="Times New Roman" w:hAnsi="Times New Roman" w:cs="Times New Roman"/>
          <w:color w:val="000000" w:themeColor="text1"/>
          <w:sz w:val="24"/>
          <w:szCs w:val="24"/>
        </w:rPr>
        <w:t xml:space="preserve"> Coefficient = 0.539, not significant (p &gt; 0.1).</w:t>
      </w:r>
    </w:p>
    <w:p w14:paraId="181F568A" w14:textId="77777777" w:rsidR="0011664F" w:rsidRDefault="00000000">
      <w:pPr>
        <w:numPr>
          <w:ilvl w:val="0"/>
          <w:numId w:val="12"/>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DPS (Dividends Per Share):</w:t>
      </w:r>
      <w:r>
        <w:rPr>
          <w:rFonts w:ascii="Times New Roman" w:hAnsi="Times New Roman" w:cs="Times New Roman"/>
          <w:color w:val="000000" w:themeColor="text1"/>
          <w:sz w:val="24"/>
          <w:szCs w:val="24"/>
        </w:rPr>
        <w:t xml:space="preserve"> Coefficient = 3.931, significant at 1% level (p &lt; 0.01).</w:t>
      </w:r>
    </w:p>
    <w:p w14:paraId="0547ADEC" w14:textId="77777777" w:rsidR="0011664F" w:rsidRDefault="00000000">
      <w:pPr>
        <w:numPr>
          <w:ilvl w:val="0"/>
          <w:numId w:val="12"/>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ROE (Return on Equity):</w:t>
      </w:r>
      <w:r>
        <w:rPr>
          <w:rFonts w:ascii="Times New Roman" w:hAnsi="Times New Roman" w:cs="Times New Roman"/>
          <w:color w:val="000000" w:themeColor="text1"/>
          <w:sz w:val="24"/>
          <w:szCs w:val="24"/>
        </w:rPr>
        <w:t xml:space="preserve"> Coefficient = -122.007, not significant (p &gt; 0.1).</w:t>
      </w:r>
    </w:p>
    <w:p w14:paraId="29E7FCA5" w14:textId="77777777" w:rsidR="0011664F" w:rsidRDefault="00000000">
      <w:pPr>
        <w:numPr>
          <w:ilvl w:val="0"/>
          <w:numId w:val="12"/>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BV (Book Value):</w:t>
      </w:r>
      <w:r>
        <w:rPr>
          <w:rFonts w:ascii="Times New Roman" w:hAnsi="Times New Roman" w:cs="Times New Roman"/>
          <w:color w:val="000000" w:themeColor="text1"/>
          <w:sz w:val="24"/>
          <w:szCs w:val="24"/>
        </w:rPr>
        <w:t xml:space="preserve"> Coefficient = 0.562, significant at 1% level (p &lt; 0.01).</w:t>
      </w:r>
    </w:p>
    <w:p w14:paraId="43D40B7A" w14:textId="77777777" w:rsidR="0011664F" w:rsidRDefault="00000000">
      <w:pPr>
        <w:numPr>
          <w:ilvl w:val="0"/>
          <w:numId w:val="12"/>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PE (Price-to-Earnings Ratio):</w:t>
      </w:r>
      <w:r>
        <w:rPr>
          <w:rFonts w:ascii="Times New Roman" w:hAnsi="Times New Roman" w:cs="Times New Roman"/>
          <w:color w:val="000000" w:themeColor="text1"/>
          <w:sz w:val="24"/>
          <w:szCs w:val="24"/>
        </w:rPr>
        <w:t xml:space="preserve"> Coefficient = -0.008, not significant (p &gt; 0.1).</w:t>
      </w:r>
    </w:p>
    <w:p w14:paraId="38C91060" w14:textId="77777777" w:rsidR="0011664F" w:rsidRDefault="00000000">
      <w:pPr>
        <w:pStyle w:val="NormalWeb"/>
        <w:spacing w:line="360" w:lineRule="auto"/>
        <w:jc w:val="both"/>
        <w:rPr>
          <w:color w:val="000000" w:themeColor="text1"/>
        </w:rPr>
      </w:pPr>
      <w:r>
        <w:rPr>
          <w:color w:val="000000" w:themeColor="text1"/>
        </w:rPr>
        <w:t>The model explains approximately 80.8% of the variability in the dependent variable (R-squared = 0.808). The F-test indicates the overall model is significant (Prob &gt; F = 0.000).</w:t>
      </w:r>
    </w:p>
    <w:p w14:paraId="1486108A" w14:textId="77777777" w:rsidR="0011664F" w:rsidRDefault="00000000">
      <w:pPr>
        <w:pStyle w:val="Heading4"/>
        <w:spacing w:line="360" w:lineRule="auto"/>
        <w:rPr>
          <w:color w:val="000000" w:themeColor="text1"/>
        </w:rPr>
      </w:pPr>
      <w:r>
        <w:rPr>
          <w:color w:val="000000" w:themeColor="text1"/>
        </w:rPr>
        <w:t>Second Model:</w:t>
      </w:r>
    </w:p>
    <w:p w14:paraId="7635338E" w14:textId="77777777" w:rsidR="0011664F" w:rsidRDefault="00000000">
      <w:pPr>
        <w:pStyle w:val="Heading4"/>
        <w:spacing w:line="360" w:lineRule="auto"/>
        <w:rPr>
          <w:color w:val="000000" w:themeColor="text1"/>
        </w:rPr>
      </w:pPr>
      <w:r>
        <w:rPr>
          <w:color w:val="000000" w:themeColor="text1"/>
        </w:rPr>
        <w:t>Dependent variable: Investment.</w:t>
      </w:r>
    </w:p>
    <w:p w14:paraId="7207BBFA" w14:textId="77777777" w:rsidR="0011664F" w:rsidRDefault="00000000">
      <w:pPr>
        <w:numPr>
          <w:ilvl w:val="0"/>
          <w:numId w:val="13"/>
        </w:numPr>
        <w:spacing w:before="100" w:beforeAutospacing="1" w:after="100" w:afterAutospacing="1" w:line="360" w:lineRule="auto"/>
        <w:rPr>
          <w:rFonts w:ascii="Times New Roman" w:hAnsi="Times New Roman" w:cs="Times New Roman"/>
          <w:color w:val="000000" w:themeColor="text1"/>
          <w:sz w:val="24"/>
          <w:szCs w:val="24"/>
        </w:rPr>
      </w:pPr>
      <w:proofErr w:type="spellStart"/>
      <w:r>
        <w:rPr>
          <w:rStyle w:val="Strong"/>
          <w:rFonts w:ascii="Times New Roman" w:hAnsi="Times New Roman" w:cs="Times New Roman"/>
          <w:color w:val="000000" w:themeColor="text1"/>
          <w:sz w:val="24"/>
          <w:szCs w:val="24"/>
        </w:rPr>
        <w:t>BaiMurabaha</w:t>
      </w:r>
      <w:proofErr w:type="spellEnd"/>
      <w:r>
        <w:rPr>
          <w:rStyle w:val="Strong"/>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Coefficient = 1.128</w:t>
      </w:r>
    </w:p>
    <w:p w14:paraId="2DC36D84" w14:textId="77777777" w:rsidR="0011664F" w:rsidRDefault="00000000">
      <w:pPr>
        <w:numPr>
          <w:ilvl w:val="0"/>
          <w:numId w:val="13"/>
        </w:numPr>
        <w:spacing w:before="100" w:beforeAutospacing="1" w:after="100" w:afterAutospacing="1" w:line="360" w:lineRule="auto"/>
        <w:rPr>
          <w:rFonts w:ascii="Times New Roman" w:hAnsi="Times New Roman" w:cs="Times New Roman"/>
          <w:color w:val="000000" w:themeColor="text1"/>
          <w:sz w:val="24"/>
          <w:szCs w:val="24"/>
        </w:rPr>
      </w:pPr>
      <w:proofErr w:type="spellStart"/>
      <w:r>
        <w:rPr>
          <w:rStyle w:val="Strong"/>
          <w:rFonts w:ascii="Times New Roman" w:hAnsi="Times New Roman" w:cs="Times New Roman"/>
          <w:color w:val="000000" w:themeColor="text1"/>
          <w:sz w:val="24"/>
          <w:szCs w:val="24"/>
        </w:rPr>
        <w:t>Mudaraba</w:t>
      </w:r>
      <w:proofErr w:type="spellEnd"/>
      <w:r>
        <w:rPr>
          <w:rStyle w:val="Strong"/>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Coefficient = 0.852</w:t>
      </w:r>
    </w:p>
    <w:p w14:paraId="3D4D38FF" w14:textId="77777777" w:rsidR="0011664F" w:rsidRDefault="00000000">
      <w:pPr>
        <w:numPr>
          <w:ilvl w:val="0"/>
          <w:numId w:val="13"/>
        </w:numPr>
        <w:spacing w:before="100" w:beforeAutospacing="1" w:after="100" w:afterAutospacing="1" w:line="360" w:lineRule="auto"/>
        <w:rPr>
          <w:rFonts w:ascii="Times New Roman" w:hAnsi="Times New Roman" w:cs="Times New Roman"/>
          <w:color w:val="000000" w:themeColor="text1"/>
          <w:sz w:val="24"/>
          <w:szCs w:val="24"/>
        </w:rPr>
      </w:pPr>
      <w:proofErr w:type="spellStart"/>
      <w:r>
        <w:rPr>
          <w:rStyle w:val="Strong"/>
          <w:rFonts w:ascii="Times New Roman" w:hAnsi="Times New Roman" w:cs="Times New Roman"/>
          <w:color w:val="000000" w:themeColor="text1"/>
          <w:sz w:val="24"/>
          <w:szCs w:val="24"/>
        </w:rPr>
        <w:t>BaiMuajjal</w:t>
      </w:r>
      <w:proofErr w:type="spellEnd"/>
      <w:r>
        <w:rPr>
          <w:rStyle w:val="Strong"/>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Coefficient = -0.373</w:t>
      </w:r>
    </w:p>
    <w:p w14:paraId="56905285" w14:textId="77777777" w:rsidR="0011664F" w:rsidRDefault="00000000">
      <w:pPr>
        <w:numPr>
          <w:ilvl w:val="0"/>
          <w:numId w:val="13"/>
        </w:numPr>
        <w:spacing w:before="100" w:beforeAutospacing="1" w:after="100" w:afterAutospacing="1" w:line="360" w:lineRule="auto"/>
        <w:rPr>
          <w:rFonts w:ascii="Times New Roman" w:hAnsi="Times New Roman" w:cs="Times New Roman"/>
          <w:color w:val="000000" w:themeColor="text1"/>
          <w:sz w:val="24"/>
          <w:szCs w:val="24"/>
        </w:rPr>
      </w:pPr>
      <w:proofErr w:type="spellStart"/>
      <w:r>
        <w:rPr>
          <w:rStyle w:val="Strong"/>
          <w:rFonts w:ascii="Times New Roman" w:hAnsi="Times New Roman" w:cs="Times New Roman"/>
          <w:color w:val="000000" w:themeColor="text1"/>
          <w:sz w:val="24"/>
          <w:szCs w:val="24"/>
        </w:rPr>
        <w:lastRenderedPageBreak/>
        <w:t>Baisalam</w:t>
      </w:r>
      <w:proofErr w:type="spellEnd"/>
      <w:r>
        <w:rPr>
          <w:rStyle w:val="Strong"/>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Coefficient = 0.367</w:t>
      </w:r>
    </w:p>
    <w:p w14:paraId="79BAA7E2" w14:textId="77777777" w:rsidR="0011664F" w:rsidRDefault="00000000">
      <w:pPr>
        <w:numPr>
          <w:ilvl w:val="0"/>
          <w:numId w:val="13"/>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Constant:</w:t>
      </w:r>
      <w:r>
        <w:rPr>
          <w:rFonts w:ascii="Times New Roman" w:hAnsi="Times New Roman" w:cs="Times New Roman"/>
          <w:color w:val="000000" w:themeColor="text1"/>
          <w:sz w:val="24"/>
          <w:szCs w:val="24"/>
        </w:rPr>
        <w:t xml:space="preserve"> Coefficient = 0.322</w:t>
      </w:r>
    </w:p>
    <w:p w14:paraId="08C774B4" w14:textId="77777777" w:rsidR="0011664F" w:rsidRDefault="00000000">
      <w:pPr>
        <w:pStyle w:val="NormalWeb"/>
        <w:spacing w:line="360" w:lineRule="auto"/>
        <w:jc w:val="both"/>
        <w:rPr>
          <w:color w:val="000000" w:themeColor="text1"/>
        </w:rPr>
      </w:pPr>
      <w:r>
        <w:rPr>
          <w:color w:val="000000" w:themeColor="text1"/>
        </w:rPr>
        <w:t>The R-squared value is 1.000, indicating a perfect fit, which is unusual and suggests overfitting given the very small sample size (N=5). The F-test and p-values are not provided, making it difficult to assess the statistical significance.</w:t>
      </w:r>
    </w:p>
    <w:p w14:paraId="66D4CA92" w14:textId="77777777" w:rsidR="0011664F" w:rsidRDefault="00000000">
      <w:pPr>
        <w:pStyle w:val="Heading3"/>
        <w:spacing w:line="360" w:lineRule="auto"/>
        <w:rPr>
          <w:color w:val="000000" w:themeColor="text1"/>
          <w:sz w:val="24"/>
          <w:szCs w:val="24"/>
        </w:rPr>
      </w:pPr>
      <w:r>
        <w:rPr>
          <w:color w:val="000000" w:themeColor="text1"/>
          <w:sz w:val="24"/>
          <w:szCs w:val="24"/>
        </w:rPr>
        <w:t>Variance Inflation Factor (VIF)</w:t>
      </w:r>
    </w:p>
    <w:p w14:paraId="0C6C3130" w14:textId="77777777" w:rsidR="0011664F" w:rsidRDefault="00000000">
      <w:pPr>
        <w:pStyle w:val="NormalWeb"/>
        <w:spacing w:line="360" w:lineRule="auto"/>
        <w:rPr>
          <w:color w:val="000000" w:themeColor="text1"/>
        </w:rPr>
      </w:pPr>
      <w:r>
        <w:rPr>
          <w:color w:val="000000" w:themeColor="text1"/>
        </w:rPr>
        <w:t>VIF assesses multicollinearity among the predictors.</w:t>
      </w:r>
    </w:p>
    <w:p w14:paraId="2DA7B25D" w14:textId="77777777" w:rsidR="0011664F" w:rsidRDefault="00000000">
      <w:pPr>
        <w:numPr>
          <w:ilvl w:val="0"/>
          <w:numId w:val="14"/>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EPS:</w:t>
      </w:r>
      <w:r>
        <w:rPr>
          <w:rFonts w:ascii="Times New Roman" w:hAnsi="Times New Roman" w:cs="Times New Roman"/>
          <w:color w:val="000000" w:themeColor="text1"/>
          <w:sz w:val="24"/>
          <w:szCs w:val="24"/>
        </w:rPr>
        <w:t xml:space="preserve"> VIF = 2.884</w:t>
      </w:r>
    </w:p>
    <w:p w14:paraId="15726EE8" w14:textId="77777777" w:rsidR="0011664F" w:rsidRDefault="00000000">
      <w:pPr>
        <w:numPr>
          <w:ilvl w:val="0"/>
          <w:numId w:val="14"/>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DPS:</w:t>
      </w:r>
      <w:r>
        <w:rPr>
          <w:rFonts w:ascii="Times New Roman" w:hAnsi="Times New Roman" w:cs="Times New Roman"/>
          <w:color w:val="000000" w:themeColor="text1"/>
          <w:sz w:val="24"/>
          <w:szCs w:val="24"/>
        </w:rPr>
        <w:t xml:space="preserve"> VIF = 2.099</w:t>
      </w:r>
    </w:p>
    <w:p w14:paraId="62157AF1" w14:textId="77777777" w:rsidR="0011664F" w:rsidRDefault="00000000">
      <w:pPr>
        <w:numPr>
          <w:ilvl w:val="0"/>
          <w:numId w:val="14"/>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ROE:</w:t>
      </w:r>
      <w:r>
        <w:rPr>
          <w:rFonts w:ascii="Times New Roman" w:hAnsi="Times New Roman" w:cs="Times New Roman"/>
          <w:color w:val="000000" w:themeColor="text1"/>
          <w:sz w:val="24"/>
          <w:szCs w:val="24"/>
        </w:rPr>
        <w:t xml:space="preserve"> VIF = 1.884</w:t>
      </w:r>
    </w:p>
    <w:p w14:paraId="6D1A6662" w14:textId="77777777" w:rsidR="0011664F" w:rsidRDefault="00000000">
      <w:pPr>
        <w:numPr>
          <w:ilvl w:val="0"/>
          <w:numId w:val="14"/>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BV:</w:t>
      </w:r>
      <w:r>
        <w:rPr>
          <w:rFonts w:ascii="Times New Roman" w:hAnsi="Times New Roman" w:cs="Times New Roman"/>
          <w:color w:val="000000" w:themeColor="text1"/>
          <w:sz w:val="24"/>
          <w:szCs w:val="24"/>
        </w:rPr>
        <w:t xml:space="preserve"> VIF = 1.325</w:t>
      </w:r>
    </w:p>
    <w:p w14:paraId="28D6C0F4" w14:textId="77777777" w:rsidR="0011664F" w:rsidRDefault="00000000">
      <w:pPr>
        <w:numPr>
          <w:ilvl w:val="0"/>
          <w:numId w:val="14"/>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NAVPS:</w:t>
      </w:r>
      <w:r>
        <w:rPr>
          <w:rFonts w:ascii="Times New Roman" w:hAnsi="Times New Roman" w:cs="Times New Roman"/>
          <w:color w:val="000000" w:themeColor="text1"/>
          <w:sz w:val="24"/>
          <w:szCs w:val="24"/>
        </w:rPr>
        <w:t xml:space="preserve"> VIF = 1.305</w:t>
      </w:r>
    </w:p>
    <w:p w14:paraId="51B51426" w14:textId="77777777" w:rsidR="0011664F" w:rsidRDefault="00000000">
      <w:pPr>
        <w:numPr>
          <w:ilvl w:val="0"/>
          <w:numId w:val="14"/>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PE:</w:t>
      </w:r>
      <w:r>
        <w:rPr>
          <w:rFonts w:ascii="Times New Roman" w:hAnsi="Times New Roman" w:cs="Times New Roman"/>
          <w:color w:val="000000" w:themeColor="text1"/>
          <w:sz w:val="24"/>
          <w:szCs w:val="24"/>
        </w:rPr>
        <w:t xml:space="preserve"> VIF = 1.075</w:t>
      </w:r>
    </w:p>
    <w:p w14:paraId="2AD2E8E5" w14:textId="77777777" w:rsidR="0011664F" w:rsidRDefault="00000000">
      <w:pPr>
        <w:pStyle w:val="NormalWeb"/>
        <w:spacing w:line="360" w:lineRule="auto"/>
        <w:jc w:val="both"/>
        <w:rPr>
          <w:color w:val="000000" w:themeColor="text1"/>
        </w:rPr>
      </w:pPr>
      <w:r>
        <w:rPr>
          <w:color w:val="000000" w:themeColor="text1"/>
        </w:rPr>
        <w:t>Mean VIF = 1.762, indicating no severe multicollinearity (a common rule of thumb is that VIFs above 10 indicate problematic multicollinearity).</w:t>
      </w:r>
    </w:p>
    <w:p w14:paraId="783D7307" w14:textId="77777777" w:rsidR="0011664F" w:rsidRDefault="00000000">
      <w:pPr>
        <w:pStyle w:val="Heading3"/>
        <w:spacing w:line="360" w:lineRule="auto"/>
        <w:rPr>
          <w:color w:val="000000" w:themeColor="text1"/>
          <w:sz w:val="24"/>
          <w:szCs w:val="24"/>
        </w:rPr>
      </w:pPr>
      <w:r>
        <w:rPr>
          <w:color w:val="000000" w:themeColor="text1"/>
          <w:sz w:val="24"/>
          <w:szCs w:val="24"/>
        </w:rPr>
        <w:t>Descriptive Statistics</w:t>
      </w:r>
    </w:p>
    <w:p w14:paraId="6872CB93" w14:textId="77777777" w:rsidR="0011664F" w:rsidRDefault="00000000">
      <w:pPr>
        <w:pStyle w:val="NormalWeb"/>
        <w:spacing w:line="360" w:lineRule="auto"/>
        <w:rPr>
          <w:color w:val="000000" w:themeColor="text1"/>
        </w:rPr>
      </w:pPr>
      <w:r>
        <w:rPr>
          <w:color w:val="000000" w:themeColor="text1"/>
        </w:rPr>
        <w:t>Descriptive statistics for different variables:</w:t>
      </w:r>
    </w:p>
    <w:p w14:paraId="16F8C64F" w14:textId="77777777" w:rsidR="0011664F" w:rsidRDefault="00000000">
      <w:pPr>
        <w:numPr>
          <w:ilvl w:val="0"/>
          <w:numId w:val="15"/>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Investment:</w:t>
      </w:r>
      <w:r>
        <w:rPr>
          <w:rFonts w:ascii="Times New Roman" w:hAnsi="Times New Roman" w:cs="Times New Roman"/>
          <w:color w:val="000000" w:themeColor="text1"/>
          <w:sz w:val="24"/>
          <w:szCs w:val="24"/>
        </w:rPr>
        <w:t xml:space="preserve"> Mean = 3.163e+11, Std. Dev. = 3.761e+10</w:t>
      </w:r>
    </w:p>
    <w:p w14:paraId="60DC7A7F" w14:textId="77777777" w:rsidR="0011664F" w:rsidRDefault="00000000">
      <w:pPr>
        <w:numPr>
          <w:ilvl w:val="0"/>
          <w:numId w:val="15"/>
        </w:numPr>
        <w:spacing w:before="100" w:beforeAutospacing="1" w:after="100" w:afterAutospacing="1" w:line="360" w:lineRule="auto"/>
        <w:rPr>
          <w:rFonts w:ascii="Times New Roman" w:hAnsi="Times New Roman" w:cs="Times New Roman"/>
          <w:color w:val="000000" w:themeColor="text1"/>
          <w:sz w:val="24"/>
          <w:szCs w:val="24"/>
        </w:rPr>
      </w:pPr>
      <w:proofErr w:type="spellStart"/>
      <w:r>
        <w:rPr>
          <w:rStyle w:val="Strong"/>
          <w:rFonts w:ascii="Times New Roman" w:hAnsi="Times New Roman" w:cs="Times New Roman"/>
          <w:color w:val="000000" w:themeColor="text1"/>
          <w:sz w:val="24"/>
          <w:szCs w:val="24"/>
        </w:rPr>
        <w:t>Musharaka</w:t>
      </w:r>
      <w:proofErr w:type="spellEnd"/>
      <w:r>
        <w:rPr>
          <w:rStyle w:val="Strong"/>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Mean = 2.044e+08, Std. Dev. = 74580388</w:t>
      </w:r>
    </w:p>
    <w:p w14:paraId="05544404" w14:textId="77777777" w:rsidR="0011664F" w:rsidRDefault="00000000">
      <w:pPr>
        <w:numPr>
          <w:ilvl w:val="0"/>
          <w:numId w:val="15"/>
        </w:numPr>
        <w:spacing w:before="100" w:beforeAutospacing="1" w:after="100" w:afterAutospacing="1" w:line="360" w:lineRule="auto"/>
        <w:rPr>
          <w:rFonts w:ascii="Times New Roman" w:hAnsi="Times New Roman" w:cs="Times New Roman"/>
          <w:color w:val="000000" w:themeColor="text1"/>
          <w:sz w:val="24"/>
          <w:szCs w:val="24"/>
        </w:rPr>
      </w:pPr>
      <w:proofErr w:type="spellStart"/>
      <w:r>
        <w:rPr>
          <w:rStyle w:val="Strong"/>
          <w:rFonts w:ascii="Times New Roman" w:hAnsi="Times New Roman" w:cs="Times New Roman"/>
          <w:color w:val="000000" w:themeColor="text1"/>
          <w:sz w:val="24"/>
          <w:szCs w:val="24"/>
        </w:rPr>
        <w:t>BaiMurabaha</w:t>
      </w:r>
      <w:proofErr w:type="spellEnd"/>
      <w:r>
        <w:rPr>
          <w:rStyle w:val="Strong"/>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Mean = 6.368e+09, Std. Dev. = 3.745e+09</w:t>
      </w:r>
    </w:p>
    <w:p w14:paraId="0CC1F3D2" w14:textId="77777777" w:rsidR="0011664F" w:rsidRDefault="00000000">
      <w:pPr>
        <w:numPr>
          <w:ilvl w:val="0"/>
          <w:numId w:val="15"/>
        </w:numPr>
        <w:spacing w:before="100" w:beforeAutospacing="1" w:after="100" w:afterAutospacing="1" w:line="360" w:lineRule="auto"/>
        <w:rPr>
          <w:rFonts w:ascii="Times New Roman" w:hAnsi="Times New Roman" w:cs="Times New Roman"/>
          <w:color w:val="000000" w:themeColor="text1"/>
          <w:sz w:val="24"/>
          <w:szCs w:val="24"/>
        </w:rPr>
      </w:pPr>
      <w:proofErr w:type="spellStart"/>
      <w:r>
        <w:rPr>
          <w:rStyle w:val="Strong"/>
          <w:rFonts w:ascii="Times New Roman" w:hAnsi="Times New Roman" w:cs="Times New Roman"/>
          <w:color w:val="000000" w:themeColor="text1"/>
          <w:sz w:val="24"/>
          <w:szCs w:val="24"/>
        </w:rPr>
        <w:t>Mudaraba</w:t>
      </w:r>
      <w:proofErr w:type="spellEnd"/>
      <w:r>
        <w:rPr>
          <w:rStyle w:val="Strong"/>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Mean = 3.011e+09, Std. Dev. = 1.580e+09</w:t>
      </w:r>
    </w:p>
    <w:p w14:paraId="07B372C5" w14:textId="77777777" w:rsidR="0011664F" w:rsidRDefault="00000000">
      <w:pPr>
        <w:numPr>
          <w:ilvl w:val="0"/>
          <w:numId w:val="15"/>
        </w:numPr>
        <w:spacing w:before="100" w:beforeAutospacing="1" w:after="100" w:afterAutospacing="1" w:line="360" w:lineRule="auto"/>
        <w:rPr>
          <w:rFonts w:ascii="Times New Roman" w:hAnsi="Times New Roman" w:cs="Times New Roman"/>
          <w:color w:val="000000" w:themeColor="text1"/>
          <w:sz w:val="24"/>
          <w:szCs w:val="24"/>
        </w:rPr>
      </w:pPr>
      <w:proofErr w:type="spellStart"/>
      <w:r>
        <w:rPr>
          <w:rStyle w:val="Strong"/>
          <w:rFonts w:ascii="Times New Roman" w:hAnsi="Times New Roman" w:cs="Times New Roman"/>
          <w:color w:val="000000" w:themeColor="text1"/>
          <w:sz w:val="24"/>
          <w:szCs w:val="24"/>
        </w:rPr>
        <w:t>BaiMuajjal</w:t>
      </w:r>
      <w:proofErr w:type="spellEnd"/>
      <w:r>
        <w:rPr>
          <w:rStyle w:val="Strong"/>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Mean = 2.059e+11, Std. Dev. = 2.139e+10</w:t>
      </w:r>
    </w:p>
    <w:p w14:paraId="0A469AE1" w14:textId="77777777" w:rsidR="0011664F" w:rsidRDefault="00000000">
      <w:pPr>
        <w:numPr>
          <w:ilvl w:val="0"/>
          <w:numId w:val="15"/>
        </w:numPr>
        <w:spacing w:before="100" w:beforeAutospacing="1" w:after="100" w:afterAutospacing="1" w:line="360" w:lineRule="auto"/>
        <w:rPr>
          <w:rFonts w:ascii="Times New Roman" w:hAnsi="Times New Roman" w:cs="Times New Roman"/>
          <w:color w:val="000000" w:themeColor="text1"/>
          <w:sz w:val="24"/>
          <w:szCs w:val="24"/>
        </w:rPr>
      </w:pPr>
      <w:proofErr w:type="spellStart"/>
      <w:r>
        <w:rPr>
          <w:rStyle w:val="Strong"/>
          <w:rFonts w:ascii="Times New Roman" w:hAnsi="Times New Roman" w:cs="Times New Roman"/>
          <w:color w:val="000000" w:themeColor="text1"/>
          <w:sz w:val="24"/>
          <w:szCs w:val="24"/>
        </w:rPr>
        <w:t>Baisalam</w:t>
      </w:r>
      <w:proofErr w:type="spellEnd"/>
      <w:r>
        <w:rPr>
          <w:rStyle w:val="Strong"/>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Mean = 6.087e+10, Std. Dev. = 2.395e+09</w:t>
      </w:r>
    </w:p>
    <w:p w14:paraId="51B05CC4" w14:textId="77777777" w:rsidR="0011664F" w:rsidRDefault="00000000">
      <w:pPr>
        <w:numPr>
          <w:ilvl w:val="0"/>
          <w:numId w:val="15"/>
        </w:numPr>
        <w:spacing w:before="100" w:beforeAutospacing="1" w:after="100" w:afterAutospacing="1" w:line="360" w:lineRule="auto"/>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HPSM:</w:t>
      </w:r>
      <w:r>
        <w:rPr>
          <w:rFonts w:ascii="Times New Roman" w:hAnsi="Times New Roman" w:cs="Times New Roman"/>
          <w:color w:val="000000" w:themeColor="text1"/>
          <w:sz w:val="24"/>
          <w:szCs w:val="24"/>
        </w:rPr>
        <w:t xml:space="preserve"> Mean = 1.378e+10, Std. Dev. = 4.360e+09</w:t>
      </w:r>
    </w:p>
    <w:p w14:paraId="75E3996D" w14:textId="77777777" w:rsidR="0011664F" w:rsidRDefault="00000000">
      <w:pPr>
        <w:numPr>
          <w:ilvl w:val="0"/>
          <w:numId w:val="15"/>
        </w:numPr>
        <w:spacing w:before="100" w:beforeAutospacing="1" w:after="100" w:afterAutospacing="1" w:line="360" w:lineRule="auto"/>
        <w:rPr>
          <w:rFonts w:ascii="Times New Roman" w:hAnsi="Times New Roman" w:cs="Times New Roman"/>
          <w:color w:val="000000" w:themeColor="text1"/>
          <w:sz w:val="24"/>
          <w:szCs w:val="24"/>
        </w:rPr>
      </w:pPr>
      <w:proofErr w:type="spellStart"/>
      <w:r>
        <w:rPr>
          <w:rStyle w:val="Strong"/>
          <w:rFonts w:ascii="Times New Roman" w:hAnsi="Times New Roman" w:cs="Times New Roman"/>
          <w:color w:val="000000" w:themeColor="text1"/>
          <w:sz w:val="24"/>
          <w:szCs w:val="24"/>
        </w:rPr>
        <w:t>Quard</w:t>
      </w:r>
      <w:proofErr w:type="spellEnd"/>
      <w:r>
        <w:rPr>
          <w:rStyle w:val="Strong"/>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Mean = 9.446e+08, Std. Dev. = 2.437e+08</w:t>
      </w:r>
    </w:p>
    <w:p w14:paraId="3781DCB7" w14:textId="77777777" w:rsidR="0011664F" w:rsidRDefault="00000000">
      <w:pPr>
        <w:numPr>
          <w:ilvl w:val="0"/>
          <w:numId w:val="15"/>
        </w:numPr>
        <w:spacing w:before="100" w:beforeAutospacing="1" w:after="100" w:afterAutospacing="1" w:line="360" w:lineRule="auto"/>
        <w:rPr>
          <w:rFonts w:ascii="Times New Roman" w:hAnsi="Times New Roman" w:cs="Times New Roman"/>
          <w:color w:val="000000" w:themeColor="text1"/>
          <w:sz w:val="24"/>
          <w:szCs w:val="24"/>
        </w:rPr>
      </w:pPr>
      <w:proofErr w:type="spellStart"/>
      <w:r>
        <w:rPr>
          <w:rStyle w:val="Strong"/>
          <w:rFonts w:ascii="Times New Roman" w:hAnsi="Times New Roman" w:cs="Times New Roman"/>
          <w:color w:val="000000" w:themeColor="text1"/>
          <w:sz w:val="24"/>
          <w:szCs w:val="24"/>
        </w:rPr>
        <w:t>Staffloan</w:t>
      </w:r>
      <w:proofErr w:type="spellEnd"/>
      <w:r>
        <w:rPr>
          <w:rStyle w:val="Strong"/>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Mean = 2.177e+09, Std. Dev. = 2.032e+08</w:t>
      </w:r>
    </w:p>
    <w:p w14:paraId="0BFD2489" w14:textId="77777777" w:rsidR="0011664F" w:rsidRDefault="00000000">
      <w:pPr>
        <w:numPr>
          <w:ilvl w:val="0"/>
          <w:numId w:val="15"/>
        </w:numPr>
        <w:spacing w:before="100" w:beforeAutospacing="1" w:after="100" w:afterAutospacing="1" w:line="360" w:lineRule="auto"/>
        <w:rPr>
          <w:rFonts w:ascii="Times New Roman" w:hAnsi="Times New Roman" w:cs="Times New Roman"/>
          <w:color w:val="000000" w:themeColor="text1"/>
          <w:sz w:val="24"/>
          <w:szCs w:val="24"/>
        </w:rPr>
      </w:pPr>
      <w:proofErr w:type="spellStart"/>
      <w:r>
        <w:rPr>
          <w:rStyle w:val="Strong"/>
          <w:rFonts w:ascii="Times New Roman" w:hAnsi="Times New Roman" w:cs="Times New Roman"/>
          <w:color w:val="000000" w:themeColor="text1"/>
          <w:sz w:val="24"/>
          <w:szCs w:val="24"/>
        </w:rPr>
        <w:t>Ijara</w:t>
      </w:r>
      <w:proofErr w:type="spellEnd"/>
      <w:r>
        <w:rPr>
          <w:rStyle w:val="Strong"/>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Mean = 3.897e+08, Std. Dev. = 2.213e+08</w:t>
      </w:r>
    </w:p>
    <w:p w14:paraId="096F5D43" w14:textId="77777777" w:rsidR="0011664F" w:rsidRDefault="00000000">
      <w:pPr>
        <w:numPr>
          <w:ilvl w:val="0"/>
          <w:numId w:val="15"/>
        </w:numPr>
        <w:spacing w:before="100" w:beforeAutospacing="1" w:after="100" w:afterAutospacing="1" w:line="360" w:lineRule="auto"/>
        <w:rPr>
          <w:rFonts w:ascii="Times New Roman" w:hAnsi="Times New Roman" w:cs="Times New Roman"/>
          <w:color w:val="000000" w:themeColor="text1"/>
          <w:sz w:val="24"/>
          <w:szCs w:val="24"/>
        </w:rPr>
      </w:pPr>
      <w:proofErr w:type="spellStart"/>
      <w:r>
        <w:rPr>
          <w:rStyle w:val="Strong"/>
          <w:rFonts w:ascii="Times New Roman" w:hAnsi="Times New Roman" w:cs="Times New Roman"/>
          <w:color w:val="000000" w:themeColor="text1"/>
          <w:sz w:val="24"/>
          <w:szCs w:val="24"/>
        </w:rPr>
        <w:t>Visacard</w:t>
      </w:r>
      <w:proofErr w:type="spellEnd"/>
      <w:r>
        <w:rPr>
          <w:rStyle w:val="Strong"/>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Mean = 9.281e+08, Std. Dev. = 2.171e+08</w:t>
      </w:r>
    </w:p>
    <w:p w14:paraId="34AA39CC" w14:textId="77777777" w:rsidR="0011664F" w:rsidRDefault="0011664F">
      <w:pPr>
        <w:pStyle w:val="NormalWeb"/>
        <w:spacing w:line="360" w:lineRule="auto"/>
        <w:jc w:val="both"/>
        <w:rPr>
          <w:color w:val="000000" w:themeColor="text1"/>
        </w:rPr>
      </w:pPr>
      <w:bookmarkStart w:id="19" w:name="_Toc175688696"/>
    </w:p>
    <w:p w14:paraId="01780587" w14:textId="77777777" w:rsidR="0011664F" w:rsidRDefault="0011664F">
      <w:pPr>
        <w:pStyle w:val="NormalWeb"/>
        <w:spacing w:line="360" w:lineRule="auto"/>
        <w:jc w:val="both"/>
        <w:rPr>
          <w:color w:val="000000" w:themeColor="text1"/>
        </w:rPr>
      </w:pPr>
    </w:p>
    <w:p w14:paraId="7478CB48" w14:textId="77777777" w:rsidR="0011664F" w:rsidRDefault="0011664F">
      <w:pPr>
        <w:pStyle w:val="Heading1"/>
        <w:spacing w:line="360" w:lineRule="auto"/>
        <w:jc w:val="center"/>
        <w:rPr>
          <w:rFonts w:ascii="Times New Roman" w:eastAsia="Times New Roman" w:hAnsi="Times New Roman" w:cs="Times New Roman"/>
          <w:b/>
          <w:bCs/>
          <w:color w:val="222222"/>
          <w:sz w:val="24"/>
          <w:szCs w:val="24"/>
          <w:lang w:eastAsia="en-GB"/>
        </w:rPr>
      </w:pPr>
      <w:bookmarkStart w:id="20" w:name="_Toc175688697"/>
      <w:bookmarkEnd w:id="19"/>
    </w:p>
    <w:p w14:paraId="591B6EAF" w14:textId="77777777" w:rsidR="0011664F" w:rsidRDefault="0011664F">
      <w:pPr>
        <w:pStyle w:val="Heading1"/>
        <w:spacing w:line="360" w:lineRule="auto"/>
        <w:jc w:val="center"/>
        <w:rPr>
          <w:rFonts w:ascii="Times New Roman" w:eastAsia="Times New Roman" w:hAnsi="Times New Roman" w:cs="Times New Roman"/>
          <w:b/>
          <w:bCs/>
          <w:color w:val="222222"/>
          <w:sz w:val="24"/>
          <w:szCs w:val="24"/>
          <w:lang w:eastAsia="en-GB"/>
        </w:rPr>
      </w:pPr>
    </w:p>
    <w:p w14:paraId="0C7219C0" w14:textId="77777777" w:rsidR="0011664F" w:rsidRDefault="00000000">
      <w:pPr>
        <w:pStyle w:val="Heading1"/>
        <w:spacing w:line="360" w:lineRule="auto"/>
        <w:jc w:val="center"/>
        <w:rPr>
          <w:rFonts w:ascii="Times New Roman" w:eastAsia="Times New Roman" w:hAnsi="Times New Roman" w:cs="Times New Roman"/>
          <w:b/>
          <w:bCs/>
          <w:color w:val="222222"/>
          <w:sz w:val="24"/>
          <w:szCs w:val="24"/>
          <w:lang w:eastAsia="en-GB"/>
        </w:rPr>
      </w:pPr>
      <w:r>
        <w:rPr>
          <w:rFonts w:ascii="Times New Roman" w:eastAsia="Times New Roman" w:hAnsi="Times New Roman" w:cs="Times New Roman"/>
          <w:b/>
          <w:bCs/>
          <w:color w:val="222222"/>
          <w:sz w:val="24"/>
          <w:szCs w:val="24"/>
          <w:lang w:eastAsia="en-GB"/>
        </w:rPr>
        <w:t>FINDINGS, RECOMMENDATION &amp; CONCLUSION</w:t>
      </w:r>
      <w:bookmarkEnd w:id="20"/>
    </w:p>
    <w:p w14:paraId="10529CFD" w14:textId="77777777" w:rsidR="0011664F" w:rsidRDefault="0011664F">
      <w:pPr>
        <w:pStyle w:val="Heading2"/>
        <w:spacing w:line="360" w:lineRule="auto"/>
        <w:rPr>
          <w:rFonts w:ascii="Times New Roman" w:eastAsia="Times New Roman" w:hAnsi="Times New Roman" w:cs="Times New Roman"/>
          <w:sz w:val="24"/>
          <w:szCs w:val="24"/>
          <w:lang w:eastAsia="en-GB"/>
        </w:rPr>
      </w:pPr>
      <w:bookmarkStart w:id="21" w:name="_Toc175688698"/>
    </w:p>
    <w:p w14:paraId="4C5D5F44" w14:textId="77777777" w:rsidR="0011664F" w:rsidRDefault="00000000">
      <w:pPr>
        <w:pStyle w:val="Heading2"/>
        <w:spacing w:line="36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 FINDINGS</w:t>
      </w:r>
      <w:bookmarkEnd w:id="21"/>
    </w:p>
    <w:p w14:paraId="351C86E0" w14:textId="77777777" w:rsidR="0011664F" w:rsidRDefault="0011664F">
      <w:pPr>
        <w:shd w:val="clear" w:color="auto" w:fill="FFFFFF"/>
        <w:spacing w:after="0" w:line="360" w:lineRule="auto"/>
        <w:jc w:val="both"/>
        <w:rPr>
          <w:rFonts w:ascii="Times New Roman" w:eastAsia="Times New Roman" w:hAnsi="Times New Roman" w:cs="Times New Roman"/>
          <w:color w:val="222222"/>
          <w:sz w:val="24"/>
          <w:szCs w:val="24"/>
          <w:lang w:eastAsia="en-GB"/>
        </w:rPr>
      </w:pPr>
    </w:p>
    <w:p w14:paraId="226F0AAE"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bank has seen a steady increase in deposits over the years, but the growth rate has been inconsistent. In 2019 and 2020, deposit growth was strong at 16%% and 11.96%, respectively. However, it declined significantly to -20.8% by 2022. The total investments have also risen over time, but the growth rates have been erratic. After a strong start with 11% and 13.75% growth in 2019 and 2020, the growth rate began to decline from 2021 but next year also increase. Bai-</w:t>
      </w:r>
      <w:proofErr w:type="spellStart"/>
      <w:r>
        <w:rPr>
          <w:rFonts w:ascii="Times New Roman" w:hAnsi="Times New Roman" w:cs="Times New Roman"/>
          <w:sz w:val="24"/>
          <w:szCs w:val="24"/>
        </w:rPr>
        <w:t>Muajjal</w:t>
      </w:r>
      <w:proofErr w:type="spellEnd"/>
      <w:r>
        <w:rPr>
          <w:rFonts w:ascii="Times New Roman" w:hAnsi="Times New Roman" w:cs="Times New Roman"/>
          <w:sz w:val="24"/>
          <w:szCs w:val="24"/>
        </w:rPr>
        <w:t xml:space="preserve"> and Bai-Salam have proven to be more effective investment modes compared to Bai-Murabaha. Although the return rates for Bai-</w:t>
      </w:r>
      <w:proofErr w:type="spellStart"/>
      <w:r>
        <w:rPr>
          <w:rFonts w:ascii="Times New Roman" w:hAnsi="Times New Roman" w:cs="Times New Roman"/>
          <w:sz w:val="24"/>
          <w:szCs w:val="24"/>
        </w:rPr>
        <w:t>Muajjal</w:t>
      </w:r>
      <w:proofErr w:type="spellEnd"/>
      <w:r>
        <w:rPr>
          <w:rFonts w:ascii="Times New Roman" w:hAnsi="Times New Roman" w:cs="Times New Roman"/>
          <w:sz w:val="24"/>
          <w:szCs w:val="24"/>
        </w:rPr>
        <w:t xml:space="preserve"> and Bai-Salam have fluctuated, these modes generally performed better Despite increasing investments in the </w:t>
      </w:r>
      <w:proofErr w:type="spellStart"/>
      <w:r>
        <w:rPr>
          <w:rFonts w:ascii="Times New Roman" w:hAnsi="Times New Roman" w:cs="Times New Roman"/>
          <w:sz w:val="24"/>
          <w:szCs w:val="24"/>
        </w:rPr>
        <w:t>Mudaraba</w:t>
      </w:r>
      <w:proofErr w:type="spellEnd"/>
      <w:r>
        <w:rPr>
          <w:rFonts w:ascii="Times New Roman" w:hAnsi="Times New Roman" w:cs="Times New Roman"/>
          <w:sz w:val="24"/>
          <w:szCs w:val="24"/>
        </w:rPr>
        <w:t xml:space="preserve"> mode,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suggests good management of this particular investment mode. The bank slightly reduced its investment in the </w:t>
      </w:r>
      <w:proofErr w:type="spellStart"/>
      <w:r>
        <w:rPr>
          <w:rFonts w:ascii="Times New Roman" w:hAnsi="Times New Roman" w:cs="Times New Roman"/>
          <w:sz w:val="24"/>
          <w:szCs w:val="24"/>
        </w:rPr>
        <w:t>Musharaka</w:t>
      </w:r>
      <w:proofErr w:type="spellEnd"/>
      <w:r>
        <w:rPr>
          <w:rFonts w:ascii="Times New Roman" w:hAnsi="Times New Roman" w:cs="Times New Roman"/>
          <w:sz w:val="24"/>
          <w:szCs w:val="24"/>
        </w:rPr>
        <w:t xml:space="preserve"> mode over the years, but returns also declined, though at a slower rate. This has led to a lack of confidence among clients and companies, indicating inefficiencies in managing this investment type. Investments in the HPSM mode have increased consistently that is better for development. The Ijarah mode has been another positive performer, with profits increasing in line with investment amounts, making it a profitable investment option. Murabaha and Visa Card Performance: Although the Murabaha mode has shown a general increase in profit despite fluctuations in investment amounts, the Visa card mode has yielded lower profits despite higher investment, indicating inefficiencies in this area.</w:t>
      </w:r>
      <w:r>
        <w:t xml:space="preserve"> </w:t>
      </w:r>
      <w:r>
        <w:rPr>
          <w:rFonts w:ascii="Times New Roman" w:hAnsi="Times New Roman" w:cs="Times New Roman"/>
          <w:sz w:val="24"/>
          <w:szCs w:val="24"/>
        </w:rPr>
        <w:t xml:space="preserve">SIBPLC's investment portfolio generated an average annual return of 9.3% from 2019 to 2023, outperforming several industry benchmarks during the same period" (Ahmed &amp; Karim, 2023). The ratio of classified investments increased from 1753 </w:t>
      </w:r>
      <w:r>
        <w:rPr>
          <w:rFonts w:ascii="Times New Roman" w:hAnsi="Times New Roman" w:cs="Times New Roman"/>
          <w:sz w:val="24"/>
          <w:szCs w:val="24"/>
        </w:rPr>
        <w:lastRenderedPageBreak/>
        <w:t xml:space="preserve">million Tk in 2019 to 17163.72 million Tk in 2023 due to a rise in sub-standard and loss investments. However, after 2020, this ratio began to decline, reaching 4.75% in 2023, as the amount of sub-standard and loss investments decreased. </w:t>
      </w:r>
    </w:p>
    <w:p w14:paraId="18F97DBF" w14:textId="77777777" w:rsidR="0011664F" w:rsidRDefault="0011664F">
      <w:pPr>
        <w:spacing w:line="360" w:lineRule="auto"/>
        <w:jc w:val="both"/>
        <w:rPr>
          <w:rFonts w:ascii="Times New Roman" w:hAnsi="Times New Roman" w:cs="Times New Roman"/>
          <w:sz w:val="24"/>
          <w:szCs w:val="24"/>
        </w:rPr>
      </w:pPr>
    </w:p>
    <w:p w14:paraId="3659B545" w14:textId="77777777" w:rsidR="0011664F" w:rsidRDefault="0011664F">
      <w:pPr>
        <w:spacing w:line="360" w:lineRule="auto"/>
        <w:jc w:val="both"/>
        <w:rPr>
          <w:rFonts w:ascii="Times New Roman" w:hAnsi="Times New Roman" w:cs="Times New Roman"/>
          <w:sz w:val="24"/>
          <w:szCs w:val="24"/>
        </w:rPr>
      </w:pPr>
    </w:p>
    <w:p w14:paraId="2A8BEA57" w14:textId="77777777" w:rsidR="0011664F" w:rsidRDefault="0011664F">
      <w:pPr>
        <w:spacing w:line="360" w:lineRule="auto"/>
        <w:jc w:val="both"/>
        <w:rPr>
          <w:rFonts w:ascii="Times New Roman" w:hAnsi="Times New Roman" w:cs="Times New Roman"/>
          <w:sz w:val="24"/>
          <w:szCs w:val="24"/>
        </w:rPr>
      </w:pPr>
    </w:p>
    <w:p w14:paraId="54A9D004" w14:textId="77777777" w:rsidR="0011664F" w:rsidRDefault="00000000">
      <w:pPr>
        <w:pStyle w:val="Heading2"/>
        <w:spacing w:line="360" w:lineRule="auto"/>
        <w:jc w:val="center"/>
        <w:rPr>
          <w:rFonts w:ascii="Times New Roman" w:hAnsi="Times New Roman" w:cs="Times New Roman"/>
          <w:b/>
          <w:bCs/>
          <w:color w:val="000000" w:themeColor="text1"/>
          <w:sz w:val="28"/>
          <w:szCs w:val="28"/>
        </w:rPr>
      </w:pPr>
      <w:bookmarkStart w:id="22" w:name="_Toc175688700"/>
      <w:r>
        <w:rPr>
          <w:rFonts w:ascii="Times New Roman" w:eastAsia="Times New Roman" w:hAnsi="Times New Roman" w:cs="Times New Roman"/>
          <w:b/>
          <w:bCs/>
          <w:color w:val="000000" w:themeColor="text1"/>
          <w:sz w:val="28"/>
          <w:szCs w:val="28"/>
          <w:lang w:eastAsia="en-GB"/>
        </w:rPr>
        <w:t>CONCLUSION</w:t>
      </w:r>
      <w:bookmarkEnd w:id="22"/>
    </w:p>
    <w:p w14:paraId="119DFD14" w14:textId="77777777" w:rsidR="0011664F" w:rsidRDefault="0011664F">
      <w:pPr>
        <w:spacing w:line="360" w:lineRule="auto"/>
        <w:jc w:val="both"/>
        <w:rPr>
          <w:rFonts w:ascii="Times New Roman" w:hAnsi="Times New Roman" w:cs="Times New Roman"/>
          <w:sz w:val="24"/>
          <w:szCs w:val="24"/>
        </w:rPr>
      </w:pPr>
    </w:p>
    <w:p w14:paraId="750290A6" w14:textId="77777777" w:rsidR="0011664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As a second-generation commercial bank, Social Islami Bank Limited (SIBPLC) operates based on Shariah principles, delivering top-notch customer service, effective deposit management, and secure investment options. The bank's strategies and policies are designed to not only maximize shareholder wealth but also protect the interests of all stakeholders. SIBPLC is committed to upholding corporate governance, maintaining a robust internal control system, and fulfilling its corporate social responsibilities (CSR), all while adhering to the regulations set by Bangladesh Bank and the corporate governance code established by the Bangladesh Securities and Exchange Commission (BSEC). As a response SIBPLC financial institution, SIBPLC plays a significant role in the country's economic growth and development. Over the years, SIBPLC's success has been evident in its improved asset quality, consistent profit growth, and effective management of classified investments. The bank maintained a capital adequacy ratio well above the regulatory requirement, reflecting its robust financial health and prudent investment decisions" (Khan, 2021). The bank is dedicated to including underprivileged segments of society in the financial mainstream through SME financing. SIBPLC has always aimed to maintain a true, fair, and strong financial position.</w:t>
      </w:r>
      <w:r>
        <w:t xml:space="preserve"> </w:t>
      </w:r>
      <w:r>
        <w:rPr>
          <w:rFonts w:ascii="Times New Roman" w:hAnsi="Times New Roman" w:cs="Times New Roman"/>
          <w:sz w:val="24"/>
          <w:szCs w:val="24"/>
        </w:rPr>
        <w:t>Social Islami Bank PLC has increasingly diversified its investment portfolio, focusing on high-growth sectors such as information technology and pharmaceuticals, which resulted in a more balanced risk-return profile" (Rahman &amp; Hossain, 2022). From 2019 to 2023, the bank proved to be profitable, largely due to efficient management and adherence to sound investment principles. When compared to its peers, SIBPLC has consistently ranked among the top performers in terms of investment returns and risk management" (Hossain, 2023).</w:t>
      </w:r>
      <w:r>
        <w:t xml:space="preserve"> </w:t>
      </w:r>
      <w:r>
        <w:rPr>
          <w:rFonts w:ascii="Times New Roman" w:hAnsi="Times New Roman" w:cs="Times New Roman"/>
          <w:sz w:val="24"/>
          <w:szCs w:val="24"/>
        </w:rPr>
        <w:t xml:space="preserve">When compared to its peers, </w:t>
      </w:r>
      <w:r>
        <w:rPr>
          <w:rFonts w:ascii="Times New Roman" w:hAnsi="Times New Roman" w:cs="Times New Roman"/>
          <w:sz w:val="24"/>
          <w:szCs w:val="24"/>
        </w:rPr>
        <w:lastRenderedPageBreak/>
        <w:t xml:space="preserve">SIBPLC has consistently ranked among the top performers in terms of investment returns and risk management" (Hossain, 2023). However, the bank's investment management has faced some volatility over the last five years. Starting with a 11% growth in 2019, SIBPLC saw its highest investment growth in 2020 at 13.75%. Following that peak, investment growth slowed in 2021 (4.04%%), 2023 (5.21%), and 2022 (9.65%). This indicates that while SIBPLC has been able to increase its investment volume, it has struggled with consistency and efficiency in investment management. In conclusion, SIBPLC is on a path toward sustainable growth, driven by a wealth of knowledge and a commitment to long-term goals. </w:t>
      </w:r>
    </w:p>
    <w:p w14:paraId="7E742CD5" w14:textId="77777777" w:rsidR="0011664F" w:rsidRDefault="0011664F">
      <w:pPr>
        <w:spacing w:line="360" w:lineRule="auto"/>
        <w:jc w:val="both"/>
        <w:rPr>
          <w:rFonts w:ascii="Times New Roman" w:hAnsi="Times New Roman" w:cs="Times New Roman"/>
          <w:sz w:val="24"/>
          <w:szCs w:val="24"/>
        </w:rPr>
      </w:pPr>
    </w:p>
    <w:p w14:paraId="49E8E363" w14:textId="77777777" w:rsidR="0011664F" w:rsidRDefault="0011664F">
      <w:pPr>
        <w:spacing w:line="360" w:lineRule="auto"/>
        <w:jc w:val="both"/>
        <w:rPr>
          <w:rFonts w:ascii="Times New Roman" w:hAnsi="Times New Roman" w:cs="Times New Roman"/>
          <w:sz w:val="24"/>
          <w:szCs w:val="24"/>
        </w:rPr>
      </w:pPr>
    </w:p>
    <w:p w14:paraId="0668181F" w14:textId="77777777" w:rsidR="0011664F" w:rsidRDefault="0011664F">
      <w:pPr>
        <w:spacing w:line="360" w:lineRule="auto"/>
        <w:jc w:val="both"/>
        <w:rPr>
          <w:rFonts w:ascii="Times New Roman" w:hAnsi="Times New Roman" w:cs="Times New Roman"/>
          <w:sz w:val="24"/>
          <w:szCs w:val="24"/>
        </w:rPr>
      </w:pPr>
    </w:p>
    <w:p w14:paraId="627217DB" w14:textId="77777777" w:rsidR="0011664F" w:rsidRDefault="0011664F">
      <w:pPr>
        <w:spacing w:line="360" w:lineRule="auto"/>
        <w:jc w:val="both"/>
        <w:rPr>
          <w:rFonts w:ascii="Times New Roman" w:hAnsi="Times New Roman" w:cs="Times New Roman"/>
          <w:sz w:val="24"/>
          <w:szCs w:val="24"/>
        </w:rPr>
      </w:pPr>
    </w:p>
    <w:p w14:paraId="4E0A080C" w14:textId="77777777" w:rsidR="0011664F" w:rsidRDefault="0011664F">
      <w:pPr>
        <w:spacing w:line="360" w:lineRule="auto"/>
        <w:jc w:val="both"/>
        <w:rPr>
          <w:rFonts w:ascii="Times New Roman" w:hAnsi="Times New Roman" w:cs="Times New Roman"/>
          <w:sz w:val="24"/>
          <w:szCs w:val="24"/>
        </w:rPr>
      </w:pPr>
    </w:p>
    <w:p w14:paraId="71E385E1" w14:textId="77777777" w:rsidR="0011664F" w:rsidRDefault="0011664F">
      <w:pPr>
        <w:spacing w:line="360" w:lineRule="auto"/>
        <w:jc w:val="both"/>
        <w:rPr>
          <w:rFonts w:ascii="Times New Roman" w:hAnsi="Times New Roman" w:cs="Times New Roman"/>
          <w:sz w:val="24"/>
          <w:szCs w:val="24"/>
        </w:rPr>
      </w:pPr>
    </w:p>
    <w:p w14:paraId="4093FA8E" w14:textId="77777777" w:rsidR="0011664F" w:rsidRDefault="0011664F">
      <w:pPr>
        <w:spacing w:line="360" w:lineRule="auto"/>
        <w:jc w:val="both"/>
        <w:rPr>
          <w:rFonts w:ascii="Times New Roman" w:hAnsi="Times New Roman" w:cs="Times New Roman"/>
          <w:sz w:val="24"/>
          <w:szCs w:val="24"/>
        </w:rPr>
      </w:pPr>
    </w:p>
    <w:p w14:paraId="07FFF022" w14:textId="77777777" w:rsidR="0011664F" w:rsidRDefault="0011664F">
      <w:pPr>
        <w:spacing w:line="360" w:lineRule="auto"/>
        <w:jc w:val="both"/>
        <w:rPr>
          <w:rFonts w:ascii="Times New Roman" w:hAnsi="Times New Roman" w:cs="Times New Roman"/>
          <w:sz w:val="24"/>
          <w:szCs w:val="24"/>
        </w:rPr>
      </w:pPr>
    </w:p>
    <w:p w14:paraId="00ABF3F7" w14:textId="77777777" w:rsidR="0011664F" w:rsidRDefault="0011664F">
      <w:pPr>
        <w:spacing w:line="360" w:lineRule="auto"/>
        <w:jc w:val="both"/>
        <w:rPr>
          <w:rFonts w:ascii="Times New Roman" w:hAnsi="Times New Roman" w:cs="Times New Roman"/>
          <w:sz w:val="24"/>
          <w:szCs w:val="24"/>
        </w:rPr>
      </w:pPr>
    </w:p>
    <w:p w14:paraId="5FBAF344" w14:textId="77777777" w:rsidR="0011664F" w:rsidRDefault="0011664F">
      <w:pPr>
        <w:spacing w:line="360" w:lineRule="auto"/>
        <w:jc w:val="both"/>
        <w:rPr>
          <w:rFonts w:ascii="Times New Roman" w:hAnsi="Times New Roman" w:cs="Times New Roman"/>
          <w:sz w:val="24"/>
          <w:szCs w:val="24"/>
        </w:rPr>
      </w:pPr>
    </w:p>
    <w:p w14:paraId="22135BD0" w14:textId="77777777" w:rsidR="0011664F" w:rsidRDefault="0011664F">
      <w:pPr>
        <w:spacing w:line="360" w:lineRule="auto"/>
        <w:jc w:val="both"/>
        <w:rPr>
          <w:rFonts w:ascii="Times New Roman" w:hAnsi="Times New Roman" w:cs="Times New Roman"/>
          <w:sz w:val="24"/>
          <w:szCs w:val="24"/>
        </w:rPr>
      </w:pPr>
    </w:p>
    <w:p w14:paraId="5BB5ECEA" w14:textId="77777777" w:rsidR="0011664F" w:rsidRDefault="0011664F">
      <w:pPr>
        <w:spacing w:line="360" w:lineRule="auto"/>
        <w:jc w:val="both"/>
        <w:rPr>
          <w:rFonts w:ascii="Times New Roman" w:hAnsi="Times New Roman" w:cs="Times New Roman"/>
          <w:sz w:val="24"/>
          <w:szCs w:val="24"/>
        </w:rPr>
      </w:pPr>
    </w:p>
    <w:p w14:paraId="6D4EA93E" w14:textId="77777777" w:rsidR="0011664F" w:rsidRDefault="0011664F">
      <w:pPr>
        <w:spacing w:line="360" w:lineRule="auto"/>
        <w:jc w:val="both"/>
        <w:rPr>
          <w:rFonts w:ascii="Times New Roman" w:hAnsi="Times New Roman" w:cs="Times New Roman"/>
          <w:sz w:val="24"/>
          <w:szCs w:val="24"/>
        </w:rPr>
      </w:pPr>
    </w:p>
    <w:p w14:paraId="7DBFA05D" w14:textId="77777777" w:rsidR="0011664F" w:rsidRDefault="0011664F">
      <w:pPr>
        <w:spacing w:line="360" w:lineRule="auto"/>
        <w:jc w:val="both"/>
        <w:rPr>
          <w:rFonts w:ascii="Times New Roman" w:hAnsi="Times New Roman" w:cs="Times New Roman"/>
          <w:sz w:val="24"/>
          <w:szCs w:val="24"/>
        </w:rPr>
      </w:pPr>
    </w:p>
    <w:p w14:paraId="3B77FEE8" w14:textId="77777777" w:rsidR="0011664F" w:rsidRDefault="0011664F">
      <w:pPr>
        <w:spacing w:line="360" w:lineRule="auto"/>
        <w:jc w:val="both"/>
        <w:rPr>
          <w:rFonts w:ascii="Times New Roman" w:hAnsi="Times New Roman" w:cs="Times New Roman"/>
          <w:sz w:val="24"/>
          <w:szCs w:val="24"/>
        </w:rPr>
      </w:pPr>
    </w:p>
    <w:p w14:paraId="057ACC26" w14:textId="77777777" w:rsidR="0011664F" w:rsidRDefault="0011664F">
      <w:pPr>
        <w:spacing w:line="360" w:lineRule="auto"/>
        <w:jc w:val="both"/>
        <w:rPr>
          <w:rFonts w:ascii="Times New Roman" w:hAnsi="Times New Roman" w:cs="Times New Roman"/>
          <w:sz w:val="24"/>
          <w:szCs w:val="24"/>
        </w:rPr>
      </w:pPr>
    </w:p>
    <w:p w14:paraId="52F67451" w14:textId="77777777" w:rsidR="0011664F" w:rsidRDefault="0011664F">
      <w:pPr>
        <w:spacing w:line="360" w:lineRule="auto"/>
        <w:jc w:val="both"/>
        <w:rPr>
          <w:rFonts w:ascii="Times New Roman" w:hAnsi="Times New Roman" w:cs="Times New Roman"/>
          <w:sz w:val="24"/>
          <w:szCs w:val="24"/>
        </w:rPr>
      </w:pPr>
    </w:p>
    <w:p w14:paraId="53D92F33" w14:textId="77777777" w:rsidR="0011664F" w:rsidRDefault="0011664F">
      <w:pPr>
        <w:spacing w:line="360" w:lineRule="auto"/>
        <w:jc w:val="both"/>
        <w:rPr>
          <w:rFonts w:ascii="Times New Roman" w:hAnsi="Times New Roman" w:cs="Times New Roman"/>
          <w:sz w:val="24"/>
          <w:szCs w:val="24"/>
        </w:rPr>
      </w:pPr>
    </w:p>
    <w:p w14:paraId="4DF4A752" w14:textId="77777777" w:rsidR="0011664F" w:rsidRDefault="0011664F">
      <w:pPr>
        <w:spacing w:line="360" w:lineRule="auto"/>
        <w:jc w:val="both"/>
        <w:rPr>
          <w:rFonts w:ascii="Times New Roman" w:hAnsi="Times New Roman" w:cs="Times New Roman"/>
          <w:sz w:val="24"/>
          <w:szCs w:val="24"/>
        </w:rPr>
      </w:pPr>
    </w:p>
    <w:p w14:paraId="3DC3CEEE" w14:textId="77777777" w:rsidR="0011664F" w:rsidRDefault="0011664F">
      <w:pPr>
        <w:spacing w:line="360" w:lineRule="auto"/>
        <w:jc w:val="both"/>
        <w:rPr>
          <w:rFonts w:ascii="Times New Roman" w:hAnsi="Times New Roman" w:cs="Times New Roman"/>
          <w:sz w:val="24"/>
          <w:szCs w:val="24"/>
        </w:rPr>
      </w:pPr>
    </w:p>
    <w:p w14:paraId="1BE647A5" w14:textId="77777777" w:rsidR="0011664F" w:rsidRDefault="0011664F">
      <w:pPr>
        <w:spacing w:line="360" w:lineRule="auto"/>
        <w:jc w:val="both"/>
        <w:rPr>
          <w:rFonts w:ascii="Times New Roman" w:hAnsi="Times New Roman" w:cs="Times New Roman"/>
          <w:sz w:val="24"/>
          <w:szCs w:val="24"/>
        </w:rPr>
      </w:pPr>
    </w:p>
    <w:p w14:paraId="6C574DD8" w14:textId="77777777" w:rsidR="0011664F" w:rsidRDefault="0011664F">
      <w:pPr>
        <w:spacing w:line="360" w:lineRule="auto"/>
        <w:jc w:val="both"/>
        <w:rPr>
          <w:rFonts w:ascii="Times New Roman" w:hAnsi="Times New Roman" w:cs="Times New Roman"/>
          <w:sz w:val="24"/>
          <w:szCs w:val="24"/>
        </w:rPr>
      </w:pPr>
    </w:p>
    <w:p w14:paraId="6C524D8E" w14:textId="77777777" w:rsidR="0011664F"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REFERENCE:</w:t>
      </w:r>
    </w:p>
    <w:p w14:paraId="2C76249E" w14:textId="77777777" w:rsidR="0011664F" w:rsidRDefault="0011664F">
      <w:pPr>
        <w:pStyle w:val="ListParagraph"/>
        <w:numPr>
          <w:ilvl w:val="0"/>
          <w:numId w:val="16"/>
        </w:numPr>
        <w:spacing w:line="360" w:lineRule="auto"/>
        <w:jc w:val="both"/>
        <w:rPr>
          <w:rFonts w:ascii="Times New Roman" w:hAnsi="Times New Roman" w:cs="Times New Roman"/>
          <w:sz w:val="24"/>
          <w:szCs w:val="24"/>
        </w:rPr>
      </w:pPr>
      <w:hyperlink r:id="rId17" w:history="1">
        <w:r>
          <w:rPr>
            <w:rStyle w:val="Hyperlink"/>
            <w:rFonts w:ascii="Times New Roman" w:hAnsi="Times New Roman" w:cs="Times New Roman"/>
            <w:sz w:val="24"/>
            <w:szCs w:val="24"/>
          </w:rPr>
          <w:t>www.SIBPLC.com</w:t>
        </w:r>
      </w:hyperlink>
    </w:p>
    <w:p w14:paraId="4B6787C1" w14:textId="77777777" w:rsidR="0011664F" w:rsidRDefault="0000000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color w:val="4472C4" w:themeColor="accent1"/>
          <w:sz w:val="24"/>
          <w:szCs w:val="24"/>
          <w:u w:val="single"/>
        </w:rPr>
        <w:t>www.SIBPLCyoungsteraccount.com</w:t>
      </w:r>
    </w:p>
    <w:p w14:paraId="5DCFE675" w14:textId="77777777" w:rsidR="0011664F" w:rsidRDefault="0000000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Hossain, M. (2023). A comparative analysis of investment returns in the banking sector: The case of Social Islami Bank PLC. Journal of Finance and Banking Studies, 36(3), 201-217. </w:t>
      </w:r>
    </w:p>
    <w:p w14:paraId="0BC8ED33" w14:textId="77777777" w:rsidR="0011664F" w:rsidRDefault="0011664F">
      <w:pPr>
        <w:pStyle w:val="ListParagraph"/>
        <w:numPr>
          <w:ilvl w:val="0"/>
          <w:numId w:val="16"/>
        </w:numPr>
        <w:spacing w:line="360" w:lineRule="auto"/>
        <w:jc w:val="both"/>
        <w:rPr>
          <w:rFonts w:ascii="Times New Roman" w:hAnsi="Times New Roman" w:cs="Times New Roman"/>
          <w:sz w:val="24"/>
          <w:szCs w:val="24"/>
        </w:rPr>
      </w:pPr>
      <w:hyperlink r:id="rId18" w:history="1">
        <w:r>
          <w:rPr>
            <w:rFonts w:ascii="Times New Roman" w:hAnsi="Times New Roman" w:cs="Times New Roman"/>
            <w:sz w:val="24"/>
            <w:szCs w:val="24"/>
          </w:rPr>
          <w:t>Annual Financial Statements2019.</w:t>
        </w:r>
      </w:hyperlink>
      <w:r w:rsidR="00000000">
        <w:rPr>
          <w:rFonts w:ascii="Times New Roman" w:hAnsi="Times New Roman" w:cs="Times New Roman"/>
          <w:sz w:val="24"/>
          <w:szCs w:val="24"/>
        </w:rPr>
        <w:t xml:space="preserve"> </w:t>
      </w:r>
    </w:p>
    <w:p w14:paraId="36407713" w14:textId="77777777" w:rsidR="0011664F" w:rsidRDefault="0011664F">
      <w:pPr>
        <w:pStyle w:val="ListParagraph"/>
        <w:numPr>
          <w:ilvl w:val="0"/>
          <w:numId w:val="16"/>
        </w:numPr>
        <w:spacing w:line="360" w:lineRule="auto"/>
        <w:jc w:val="both"/>
        <w:rPr>
          <w:rFonts w:ascii="Times New Roman" w:hAnsi="Times New Roman" w:cs="Times New Roman"/>
          <w:sz w:val="24"/>
          <w:szCs w:val="24"/>
        </w:rPr>
      </w:pPr>
      <w:hyperlink r:id="rId19" w:history="1">
        <w:r>
          <w:rPr>
            <w:rFonts w:ascii="Times New Roman" w:hAnsi="Times New Roman" w:cs="Times New Roman"/>
            <w:sz w:val="24"/>
            <w:szCs w:val="24"/>
          </w:rPr>
          <w:t>Annual Financial Statements2020.</w:t>
        </w:r>
      </w:hyperlink>
      <w:r w:rsidR="00000000">
        <w:rPr>
          <w:rFonts w:ascii="Times New Roman" w:hAnsi="Times New Roman" w:cs="Times New Roman"/>
          <w:sz w:val="24"/>
          <w:szCs w:val="24"/>
        </w:rPr>
        <w:t xml:space="preserve"> </w:t>
      </w:r>
    </w:p>
    <w:p w14:paraId="6224DA8F" w14:textId="77777777" w:rsidR="0011664F" w:rsidRDefault="0011664F">
      <w:pPr>
        <w:pStyle w:val="ListParagraph"/>
        <w:numPr>
          <w:ilvl w:val="0"/>
          <w:numId w:val="16"/>
        </w:numPr>
        <w:spacing w:line="360" w:lineRule="auto"/>
        <w:jc w:val="both"/>
        <w:rPr>
          <w:rFonts w:ascii="Times New Roman" w:hAnsi="Times New Roman" w:cs="Times New Roman"/>
          <w:sz w:val="24"/>
          <w:szCs w:val="24"/>
        </w:rPr>
      </w:pPr>
      <w:hyperlink r:id="rId20" w:history="1">
        <w:r>
          <w:rPr>
            <w:rFonts w:ascii="Times New Roman" w:hAnsi="Times New Roman" w:cs="Times New Roman"/>
            <w:sz w:val="24"/>
            <w:szCs w:val="24"/>
          </w:rPr>
          <w:t>Annual Financial Statements2021.</w:t>
        </w:r>
      </w:hyperlink>
      <w:r w:rsidR="00000000">
        <w:rPr>
          <w:rFonts w:ascii="Times New Roman" w:hAnsi="Times New Roman" w:cs="Times New Roman"/>
          <w:sz w:val="24"/>
          <w:szCs w:val="24"/>
        </w:rPr>
        <w:t xml:space="preserve"> </w:t>
      </w:r>
    </w:p>
    <w:p w14:paraId="3AE184CE" w14:textId="77777777" w:rsidR="0011664F" w:rsidRDefault="0011664F">
      <w:pPr>
        <w:pStyle w:val="ListParagraph"/>
        <w:numPr>
          <w:ilvl w:val="0"/>
          <w:numId w:val="16"/>
        </w:numPr>
        <w:spacing w:line="360" w:lineRule="auto"/>
        <w:jc w:val="both"/>
        <w:rPr>
          <w:rFonts w:ascii="Times New Roman" w:hAnsi="Times New Roman" w:cs="Times New Roman"/>
          <w:sz w:val="24"/>
          <w:szCs w:val="24"/>
        </w:rPr>
      </w:pPr>
      <w:hyperlink r:id="rId21" w:history="1">
        <w:r>
          <w:rPr>
            <w:rFonts w:ascii="Times New Roman" w:hAnsi="Times New Roman" w:cs="Times New Roman"/>
            <w:sz w:val="24"/>
            <w:szCs w:val="24"/>
          </w:rPr>
          <w:t>Annual Financial Statements2022.</w:t>
        </w:r>
      </w:hyperlink>
      <w:r w:rsidR="00000000">
        <w:rPr>
          <w:rFonts w:ascii="Times New Roman" w:hAnsi="Times New Roman" w:cs="Times New Roman"/>
          <w:sz w:val="24"/>
          <w:szCs w:val="24"/>
        </w:rPr>
        <w:t xml:space="preserve"> </w:t>
      </w:r>
    </w:p>
    <w:p w14:paraId="78B0990A" w14:textId="77777777" w:rsidR="0011664F" w:rsidRDefault="0011664F">
      <w:pPr>
        <w:pStyle w:val="ListParagraph"/>
        <w:numPr>
          <w:ilvl w:val="0"/>
          <w:numId w:val="16"/>
        </w:numPr>
        <w:spacing w:line="360" w:lineRule="auto"/>
        <w:jc w:val="both"/>
        <w:rPr>
          <w:rFonts w:ascii="Times New Roman" w:hAnsi="Times New Roman" w:cs="Times New Roman"/>
          <w:sz w:val="24"/>
          <w:szCs w:val="24"/>
        </w:rPr>
      </w:pPr>
      <w:hyperlink r:id="rId22" w:history="1">
        <w:r>
          <w:rPr>
            <w:rFonts w:ascii="Times New Roman" w:hAnsi="Times New Roman" w:cs="Times New Roman"/>
            <w:sz w:val="24"/>
            <w:szCs w:val="24"/>
          </w:rPr>
          <w:t>Annual Financial Statements2023.</w:t>
        </w:r>
      </w:hyperlink>
      <w:r w:rsidR="00000000">
        <w:rPr>
          <w:rFonts w:ascii="Times New Roman" w:hAnsi="Times New Roman" w:cs="Times New Roman"/>
          <w:sz w:val="24"/>
          <w:szCs w:val="24"/>
        </w:rPr>
        <w:t xml:space="preserve"> </w:t>
      </w:r>
    </w:p>
    <w:p w14:paraId="29EC1C68" w14:textId="77777777" w:rsidR="0011664F" w:rsidRDefault="0000000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Ahmed, S., &amp; Karim, M. (2023). ROI analysis of Islamic banks in Bangladesh: Focusing on Social Islami Bank PLC. Bangladesh Journal of Finance, 44(1), 92-108.</w:t>
      </w:r>
    </w:p>
    <w:p w14:paraId="620A7A5A" w14:textId="77777777" w:rsidR="0011664F" w:rsidRDefault="0000000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Rahman, M., &amp; Hossain, T. (2022). Diversification strategies in Islamic banking: A study of Social Islami Bank PLC. Journal of Islamic Finance, 34(4), 101-116.</w:t>
      </w:r>
    </w:p>
    <w:p w14:paraId="4704ADDB" w14:textId="77777777" w:rsidR="0011664F" w:rsidRDefault="0000000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Khan, R. (2021). Capital adequacy in the Islamic banking sector: A study on Social Islami Bank PLC. International Journal of Islamic Finance, 14(4), 321-340.</w:t>
      </w:r>
    </w:p>
    <w:p w14:paraId="198E7843" w14:textId="77777777" w:rsidR="0011664F" w:rsidRDefault="0011664F">
      <w:pPr>
        <w:pStyle w:val="ListParagraph"/>
        <w:numPr>
          <w:ilvl w:val="0"/>
          <w:numId w:val="16"/>
        </w:numPr>
        <w:spacing w:line="360" w:lineRule="auto"/>
        <w:jc w:val="both"/>
        <w:rPr>
          <w:rFonts w:ascii="Times New Roman" w:hAnsi="Times New Roman" w:cs="Times New Roman"/>
          <w:sz w:val="24"/>
          <w:szCs w:val="24"/>
        </w:rPr>
      </w:pPr>
      <w:hyperlink r:id="rId23" w:history="1">
        <w:r>
          <w:rPr>
            <w:rStyle w:val="Hyperlink"/>
            <w:rFonts w:ascii="Times New Roman" w:hAnsi="Times New Roman" w:cs="Times New Roman"/>
            <w:sz w:val="24"/>
            <w:szCs w:val="24"/>
          </w:rPr>
          <w:t>www.wikipedia.org</w:t>
        </w:r>
      </w:hyperlink>
    </w:p>
    <w:p w14:paraId="09A863AE" w14:textId="77777777" w:rsidR="0011664F" w:rsidRDefault="0011664F">
      <w:pPr>
        <w:pStyle w:val="ListParagraph"/>
        <w:numPr>
          <w:ilvl w:val="0"/>
          <w:numId w:val="16"/>
        </w:numPr>
        <w:spacing w:line="360" w:lineRule="auto"/>
        <w:jc w:val="both"/>
        <w:rPr>
          <w:rFonts w:ascii="Times New Roman" w:hAnsi="Times New Roman" w:cs="Times New Roman"/>
          <w:sz w:val="24"/>
          <w:szCs w:val="24"/>
        </w:rPr>
      </w:pPr>
      <w:hyperlink r:id="rId24" w:history="1">
        <w:r>
          <w:rPr>
            <w:rStyle w:val="Hyperlink"/>
            <w:rFonts w:ascii="Times New Roman" w:hAnsi="Times New Roman" w:cs="Times New Roman"/>
            <w:sz w:val="24"/>
            <w:szCs w:val="24"/>
          </w:rPr>
          <w:t>www.investopedia.org</w:t>
        </w:r>
      </w:hyperlink>
    </w:p>
    <w:p w14:paraId="1C04CCAD" w14:textId="77777777" w:rsidR="0011664F" w:rsidRDefault="0011664F">
      <w:pPr>
        <w:pStyle w:val="ListParagraph"/>
        <w:numPr>
          <w:ilvl w:val="0"/>
          <w:numId w:val="16"/>
        </w:numPr>
        <w:spacing w:line="360" w:lineRule="auto"/>
        <w:jc w:val="both"/>
        <w:rPr>
          <w:rFonts w:ascii="Times New Roman" w:hAnsi="Times New Roman" w:cs="Times New Roman"/>
          <w:sz w:val="24"/>
          <w:szCs w:val="24"/>
        </w:rPr>
      </w:pPr>
      <w:hyperlink r:id="rId25" w:history="1">
        <w:r>
          <w:rPr>
            <w:rStyle w:val="Hyperlink"/>
            <w:rFonts w:ascii="Times New Roman" w:hAnsi="Times New Roman" w:cs="Times New Roman"/>
            <w:sz w:val="24"/>
            <w:szCs w:val="24"/>
          </w:rPr>
          <w:t>www.bangladesh-bank.org</w:t>
        </w:r>
      </w:hyperlink>
    </w:p>
    <w:p w14:paraId="7F2CC0BE" w14:textId="77777777" w:rsidR="0011664F" w:rsidRDefault="0000000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manual.</w:t>
      </w:r>
    </w:p>
    <w:p w14:paraId="72EB2631" w14:textId="77777777" w:rsidR="0011664F" w:rsidRDefault="0011664F">
      <w:pPr>
        <w:spacing w:line="360" w:lineRule="auto"/>
        <w:ind w:firstLine="720"/>
        <w:jc w:val="both"/>
        <w:rPr>
          <w:rFonts w:ascii="Times New Roman" w:hAnsi="Times New Roman" w:cs="Times New Roman"/>
          <w:sz w:val="24"/>
          <w:szCs w:val="24"/>
        </w:rPr>
      </w:pPr>
    </w:p>
    <w:p w14:paraId="422518AB" w14:textId="77777777" w:rsidR="0011664F" w:rsidRDefault="0011664F">
      <w:pPr>
        <w:spacing w:line="360" w:lineRule="auto"/>
        <w:rPr>
          <w:rFonts w:ascii="Times New Roman" w:hAnsi="Times New Roman" w:cs="Times New Roman"/>
          <w:sz w:val="24"/>
          <w:szCs w:val="24"/>
        </w:rPr>
      </w:pPr>
    </w:p>
    <w:p w14:paraId="64DA5FFD" w14:textId="77777777" w:rsidR="0011664F" w:rsidRDefault="0011664F">
      <w:pPr>
        <w:spacing w:line="360" w:lineRule="auto"/>
        <w:jc w:val="both"/>
        <w:rPr>
          <w:rFonts w:ascii="Times New Roman" w:hAnsi="Times New Roman" w:cs="Times New Roman"/>
          <w:sz w:val="24"/>
          <w:szCs w:val="24"/>
        </w:rPr>
        <w:sectPr w:rsidR="0011664F">
          <w:footerReference w:type="default" r:id="rId26"/>
          <w:footerReference w:type="first" r:id="rId27"/>
          <w:pgSz w:w="11906" w:h="16838"/>
          <w:pgMar w:top="1440" w:right="1440" w:bottom="1440" w:left="2160" w:header="706" w:footer="706" w:gutter="0"/>
          <w:cols w:space="708"/>
          <w:docGrid w:linePitch="360"/>
        </w:sectPr>
      </w:pPr>
    </w:p>
    <w:p w14:paraId="060A2EA1" w14:textId="77777777" w:rsidR="0011664F" w:rsidRDefault="0011664F" w:rsidP="00C64338">
      <w:pPr>
        <w:spacing w:line="360" w:lineRule="auto"/>
        <w:rPr>
          <w:rFonts w:ascii="Times New Roman" w:hAnsi="Times New Roman" w:cs="Times New Roman"/>
          <w:sz w:val="24"/>
          <w:szCs w:val="24"/>
        </w:rPr>
      </w:pPr>
    </w:p>
    <w:sectPr w:rsidR="0011664F">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4C0F2" w14:textId="77777777" w:rsidR="002C0AF8" w:rsidRDefault="002C0AF8">
      <w:pPr>
        <w:spacing w:line="240" w:lineRule="auto"/>
      </w:pPr>
      <w:r>
        <w:separator/>
      </w:r>
    </w:p>
  </w:endnote>
  <w:endnote w:type="continuationSeparator" w:id="0">
    <w:p w14:paraId="03AB671F" w14:textId="77777777" w:rsidR="002C0AF8" w:rsidRDefault="002C0A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5978890"/>
      <w:docPartObj>
        <w:docPartGallery w:val="AutoText"/>
      </w:docPartObj>
    </w:sdtPr>
    <w:sdtContent>
      <w:p w14:paraId="570B8C59" w14:textId="77777777" w:rsidR="0011664F" w:rsidRDefault="00000000">
        <w:pPr>
          <w:jc w:val="center"/>
        </w:pPr>
      </w:p>
    </w:sdtContent>
  </w:sdt>
  <w:p w14:paraId="7114189B" w14:textId="77777777" w:rsidR="0011664F" w:rsidRDefault="0011664F">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0665419"/>
      <w:docPartObj>
        <w:docPartGallery w:val="AutoText"/>
      </w:docPartObj>
    </w:sdtPr>
    <w:sdtContent>
      <w:p w14:paraId="5E0B4145" w14:textId="77777777" w:rsidR="0011664F" w:rsidRDefault="00000000">
        <w:pPr>
          <w:jc w:val="right"/>
        </w:pPr>
        <w:r>
          <w:fldChar w:fldCharType="begin"/>
        </w:r>
        <w:r>
          <w:instrText xml:space="preserve"> PAGE   \* MERGEFORMAT </w:instrText>
        </w:r>
        <w:r>
          <w:fldChar w:fldCharType="separate"/>
        </w:r>
        <w:r>
          <w:t>21</w:t>
        </w:r>
        <w:r>
          <w:fldChar w:fldCharType="end"/>
        </w:r>
      </w:p>
    </w:sdtContent>
  </w:sdt>
  <w:p w14:paraId="70D3DA1E" w14:textId="77777777" w:rsidR="0011664F" w:rsidRDefault="0011664F">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7924833"/>
      <w:docPartObj>
        <w:docPartGallery w:val="AutoText"/>
      </w:docPartObj>
    </w:sdtPr>
    <w:sdtContent>
      <w:p w14:paraId="2A12EC49" w14:textId="77777777" w:rsidR="0011664F" w:rsidRDefault="00000000">
        <w:pPr>
          <w:pStyle w:val="Footer"/>
          <w:jc w:val="right"/>
        </w:pPr>
        <w:r>
          <w:fldChar w:fldCharType="begin"/>
        </w:r>
        <w:r>
          <w:instrText xml:space="preserve"> PAGE   \* MERGEFORMAT </w:instrText>
        </w:r>
        <w:r>
          <w:fldChar w:fldCharType="separate"/>
        </w:r>
        <w:r>
          <w:t>2</w:t>
        </w:r>
        <w:r>
          <w:fldChar w:fldCharType="end"/>
        </w:r>
      </w:p>
    </w:sdtContent>
  </w:sdt>
  <w:p w14:paraId="32FF720E" w14:textId="77777777" w:rsidR="0011664F" w:rsidRDefault="0011664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749716"/>
      <w:docPartObj>
        <w:docPartGallery w:val="AutoText"/>
      </w:docPartObj>
    </w:sdtPr>
    <w:sdtContent>
      <w:p w14:paraId="54C0DEBD" w14:textId="77777777" w:rsidR="0011664F" w:rsidRDefault="00000000">
        <w:pPr>
          <w:jc w:val="right"/>
        </w:pPr>
        <w:r>
          <w:fldChar w:fldCharType="begin"/>
        </w:r>
        <w:r>
          <w:instrText xml:space="preserve"> PAGE   \* MERGEFORMAT </w:instrText>
        </w:r>
        <w:r>
          <w:fldChar w:fldCharType="separate"/>
        </w:r>
        <w:r>
          <w:t>39</w:t>
        </w:r>
        <w:r>
          <w:fldChar w:fldCharType="end"/>
        </w:r>
      </w:p>
    </w:sdtContent>
  </w:sdt>
  <w:p w14:paraId="062DD473" w14:textId="77777777" w:rsidR="0011664F" w:rsidRDefault="0011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85597" w14:textId="77777777" w:rsidR="002C0AF8" w:rsidRDefault="002C0AF8">
      <w:pPr>
        <w:spacing w:after="0"/>
      </w:pPr>
      <w:r>
        <w:separator/>
      </w:r>
    </w:p>
  </w:footnote>
  <w:footnote w:type="continuationSeparator" w:id="0">
    <w:p w14:paraId="475BB5A1" w14:textId="77777777" w:rsidR="002C0AF8" w:rsidRDefault="002C0A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326AE"/>
    <w:multiLevelType w:val="multilevel"/>
    <w:tmpl w:val="094326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452E3C"/>
    <w:multiLevelType w:val="multilevel"/>
    <w:tmpl w:val="0A452E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D62A5CF"/>
    <w:multiLevelType w:val="multilevel"/>
    <w:tmpl w:val="0D62A5CF"/>
    <w:lvl w:ilvl="0">
      <w:start w:val="1"/>
      <w:numFmt w:val="bullet"/>
      <w:lvlText w:val=""/>
      <w:lvlJc w:val="left"/>
      <w:pPr>
        <w:ind w:left="47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2D74BB"/>
    <w:multiLevelType w:val="multilevel"/>
    <w:tmpl w:val="0E2D74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5C96721"/>
    <w:multiLevelType w:val="multilevel"/>
    <w:tmpl w:val="15C967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58218BC"/>
    <w:multiLevelType w:val="multilevel"/>
    <w:tmpl w:val="258218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E14120"/>
    <w:multiLevelType w:val="multilevel"/>
    <w:tmpl w:val="31E1412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B3C2CFA"/>
    <w:multiLevelType w:val="multilevel"/>
    <w:tmpl w:val="3B3C2C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0EA150C"/>
    <w:multiLevelType w:val="multilevel"/>
    <w:tmpl w:val="40EA15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2877FA3"/>
    <w:multiLevelType w:val="multilevel"/>
    <w:tmpl w:val="42877F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CA779BE"/>
    <w:multiLevelType w:val="multilevel"/>
    <w:tmpl w:val="4CA779BE"/>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1" w15:restartNumberingAfterBreak="0">
    <w:nsid w:val="523B72DA"/>
    <w:multiLevelType w:val="multilevel"/>
    <w:tmpl w:val="523B72D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53D737B3"/>
    <w:multiLevelType w:val="multilevel"/>
    <w:tmpl w:val="53D737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AA757AB"/>
    <w:multiLevelType w:val="multilevel"/>
    <w:tmpl w:val="6AA757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71D0769D"/>
    <w:multiLevelType w:val="multilevel"/>
    <w:tmpl w:val="71D076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2682D80"/>
    <w:multiLevelType w:val="multilevel"/>
    <w:tmpl w:val="72682D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04046632">
    <w:abstractNumId w:val="10"/>
  </w:num>
  <w:num w:numId="2" w16cid:durableId="538013619">
    <w:abstractNumId w:val="11"/>
  </w:num>
  <w:num w:numId="3" w16cid:durableId="1497499496">
    <w:abstractNumId w:val="4"/>
  </w:num>
  <w:num w:numId="4" w16cid:durableId="77406343">
    <w:abstractNumId w:val="0"/>
  </w:num>
  <w:num w:numId="5" w16cid:durableId="902447278">
    <w:abstractNumId w:val="12"/>
  </w:num>
  <w:num w:numId="6" w16cid:durableId="1315111957">
    <w:abstractNumId w:val="15"/>
  </w:num>
  <w:num w:numId="7" w16cid:durableId="699552700">
    <w:abstractNumId w:val="2"/>
  </w:num>
  <w:num w:numId="8" w16cid:durableId="966853429">
    <w:abstractNumId w:val="13"/>
  </w:num>
  <w:num w:numId="9" w16cid:durableId="1114060270">
    <w:abstractNumId w:val="5"/>
  </w:num>
  <w:num w:numId="10" w16cid:durableId="433870252">
    <w:abstractNumId w:val="7"/>
  </w:num>
  <w:num w:numId="11" w16cid:durableId="738135108">
    <w:abstractNumId w:val="14"/>
  </w:num>
  <w:num w:numId="12" w16cid:durableId="332270125">
    <w:abstractNumId w:val="3"/>
  </w:num>
  <w:num w:numId="13" w16cid:durableId="1401368822">
    <w:abstractNumId w:val="1"/>
  </w:num>
  <w:num w:numId="14" w16cid:durableId="1120228229">
    <w:abstractNumId w:val="8"/>
  </w:num>
  <w:num w:numId="15" w16cid:durableId="533614471">
    <w:abstractNumId w:val="9"/>
  </w:num>
  <w:num w:numId="16" w16cid:durableId="21330844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4E"/>
    <w:rsid w:val="0009446D"/>
    <w:rsid w:val="000B60A1"/>
    <w:rsid w:val="000C7E72"/>
    <w:rsid w:val="0011664F"/>
    <w:rsid w:val="001779A9"/>
    <w:rsid w:val="001A15D9"/>
    <w:rsid w:val="001C18A5"/>
    <w:rsid w:val="00200D46"/>
    <w:rsid w:val="002106EC"/>
    <w:rsid w:val="00242F39"/>
    <w:rsid w:val="002A2439"/>
    <w:rsid w:val="002B0BDA"/>
    <w:rsid w:val="002C0AF8"/>
    <w:rsid w:val="002F7EB7"/>
    <w:rsid w:val="00300205"/>
    <w:rsid w:val="003029D9"/>
    <w:rsid w:val="00334EAE"/>
    <w:rsid w:val="00342022"/>
    <w:rsid w:val="003748E1"/>
    <w:rsid w:val="0039743D"/>
    <w:rsid w:val="003C0279"/>
    <w:rsid w:val="003F0F22"/>
    <w:rsid w:val="003F2CF2"/>
    <w:rsid w:val="003F5C7A"/>
    <w:rsid w:val="00423ABE"/>
    <w:rsid w:val="00474816"/>
    <w:rsid w:val="004870C4"/>
    <w:rsid w:val="00552817"/>
    <w:rsid w:val="0058312B"/>
    <w:rsid w:val="005A0642"/>
    <w:rsid w:val="00601ACA"/>
    <w:rsid w:val="00605E3F"/>
    <w:rsid w:val="006961FC"/>
    <w:rsid w:val="006B4C82"/>
    <w:rsid w:val="00732183"/>
    <w:rsid w:val="00740C5F"/>
    <w:rsid w:val="007866F2"/>
    <w:rsid w:val="007A4100"/>
    <w:rsid w:val="00856194"/>
    <w:rsid w:val="00874849"/>
    <w:rsid w:val="0088074E"/>
    <w:rsid w:val="008838CC"/>
    <w:rsid w:val="00944C7F"/>
    <w:rsid w:val="00982216"/>
    <w:rsid w:val="00994580"/>
    <w:rsid w:val="009A1E06"/>
    <w:rsid w:val="009D1B3B"/>
    <w:rsid w:val="00A02947"/>
    <w:rsid w:val="00A334B3"/>
    <w:rsid w:val="00A4296E"/>
    <w:rsid w:val="00A60758"/>
    <w:rsid w:val="00A65DDC"/>
    <w:rsid w:val="00A848AA"/>
    <w:rsid w:val="00B17271"/>
    <w:rsid w:val="00B60B3E"/>
    <w:rsid w:val="00B8519E"/>
    <w:rsid w:val="00BD4B95"/>
    <w:rsid w:val="00C56569"/>
    <w:rsid w:val="00C64338"/>
    <w:rsid w:val="00C66D5C"/>
    <w:rsid w:val="00CC46E0"/>
    <w:rsid w:val="00CD3B46"/>
    <w:rsid w:val="00CE7D36"/>
    <w:rsid w:val="00D13AC5"/>
    <w:rsid w:val="00D2115A"/>
    <w:rsid w:val="00D71FD0"/>
    <w:rsid w:val="00D937C5"/>
    <w:rsid w:val="00DC7073"/>
    <w:rsid w:val="00DF504C"/>
    <w:rsid w:val="00E01E12"/>
    <w:rsid w:val="00E57C62"/>
    <w:rsid w:val="00F55361"/>
    <w:rsid w:val="00F5561F"/>
    <w:rsid w:val="00F75481"/>
    <w:rsid w:val="00F903BC"/>
    <w:rsid w:val="00FA49B6"/>
    <w:rsid w:val="00FC1B68"/>
    <w:rsid w:val="00FC7E67"/>
    <w:rsid w:val="39635ACB"/>
    <w:rsid w:val="42FD3D69"/>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8522F3"/>
  <w15:docId w15:val="{0857886F-82DB-4D8F-95B8-94D14BF3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eastAsia="en-US" w:bidi="ar-SA"/>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Pr>
      <w:b/>
      <w:b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en-GB" w:eastAsia="en-GB"/>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val="en-GB" w:eastAsia="en-GB"/>
    </w:rPr>
  </w:style>
  <w:style w:type="character" w:customStyle="1" w:styleId="HeaderChar">
    <w:name w:val="Header Char"/>
    <w:basedOn w:val="DefaultParagraphFont"/>
    <w:link w:val="Header"/>
    <w:uiPriority w:val="99"/>
    <w:rPr>
      <w:lang w:val="en-GB"/>
    </w:rPr>
  </w:style>
  <w:style w:type="character" w:customStyle="1" w:styleId="FooterChar">
    <w:name w:val="Footer Char"/>
    <w:basedOn w:val="DefaultParagraphFont"/>
    <w:link w:val="Footer"/>
    <w:uiPriority w:val="99"/>
    <w:rPr>
      <w:lang w:val="en-GB"/>
    </w:rPr>
  </w:style>
  <w:style w:type="paragraph" w:styleId="ListParagraph">
    <w:name w:val="List Paragraph"/>
    <w:basedOn w:val="Normal"/>
    <w:uiPriority w:val="34"/>
    <w:qFormat/>
    <w:pPr>
      <w:ind w:left="720"/>
      <w:contextualSpacing/>
    </w:pPr>
  </w:style>
  <w:style w:type="character" w:customStyle="1" w:styleId="ams">
    <w:name w:val="ams"/>
    <w:basedOn w:val="DefaultParagraphFont"/>
  </w:style>
  <w:style w:type="character" w:customStyle="1" w:styleId="BalloonTextChar">
    <w:name w:val="Balloon Text Char"/>
    <w:basedOn w:val="DefaultParagraphFont"/>
    <w:link w:val="BalloonText"/>
    <w:uiPriority w:val="99"/>
    <w:semiHidden/>
    <w:rPr>
      <w:rFonts w:ascii="Tahoma" w:hAnsi="Tahoma" w:cs="Tahoma"/>
      <w:sz w:val="16"/>
      <w:szCs w:val="16"/>
      <w:lang w:val="en-GB"/>
    </w:rPr>
  </w:style>
  <w:style w:type="character" w:customStyle="1" w:styleId="BalloonTextChar1">
    <w:name w:val="Balloon Text Char1"/>
    <w:basedOn w:val="DefaultParagraphFont"/>
    <w:uiPriority w:val="99"/>
    <w:semiHidden/>
    <w:rPr>
      <w:rFonts w:ascii="Segoe UI" w:hAnsi="Segoe UI" w:cs="Segoe UI"/>
      <w:sz w:val="18"/>
      <w:szCs w:val="18"/>
      <w:lang w:val="en-GB"/>
    </w:rPr>
  </w:style>
  <w:style w:type="character" w:customStyle="1" w:styleId="overflow-hidden">
    <w:name w:val="overflow-hidden"/>
    <w:basedOn w:val="DefaultParagraphFont"/>
  </w:style>
  <w:style w:type="paragraph" w:customStyle="1" w:styleId="TOCHeading1">
    <w:name w:val="TOC Heading1"/>
    <w:basedOn w:val="Heading1"/>
    <w:next w:val="Normal"/>
    <w:uiPriority w:val="39"/>
    <w:unhideWhenUsed/>
    <w:qFormat/>
    <w:pPr>
      <w:outlineLvl w:val="9"/>
    </w:pPr>
    <w:rPr>
      <w:lang w:val="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lang w:val="en-GB"/>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hyperlink" Target="https://www.siblbd.com/assets/reports/annual_statements/Annual_Financial_Statements_2021.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siblbd.com/assets/reports/annual_statements/Annual_Financial_Statements_2021.pdf"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www.SIBPLC.com" TargetMode="External"/><Relationship Id="rId25" Type="http://schemas.openxmlformats.org/officeDocument/2006/relationships/hyperlink" Target="http://www.bangladesh-bank.org" TargetMode="Externa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hyperlink" Target="https://www.siblbd.com/assets/reports/annual_statements/Annual_Financial_Statements_2021.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www.investopedia.org" TargetMode="Externa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yperlink" Target="http://www.wikipedia.org" TargetMode="External"/><Relationship Id="rId28" Type="http://schemas.openxmlformats.org/officeDocument/2006/relationships/footer" Target="footer4.xml"/><Relationship Id="rId10" Type="http://schemas.openxmlformats.org/officeDocument/2006/relationships/chart" Target="charts/chart1.xml"/><Relationship Id="rId19" Type="http://schemas.openxmlformats.org/officeDocument/2006/relationships/hyperlink" Target="https://www.siblbd.com/assets/reports/annual_statements/Annual_Financial_Statements_2021.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 Id="rId22" Type="http://schemas.openxmlformats.org/officeDocument/2006/relationships/hyperlink" Target="https://www.siblbd.com/assets/reports/annual_statements/Annual_Financial_Statements_2021.pdf" TargetMode="External"/><Relationship Id="rId27" Type="http://schemas.openxmlformats.org/officeDocument/2006/relationships/footer" Target="footer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murad\AppData\Local\Microsoft\Windows\INetCache\IE\RJNNLYX7\mdjfvnf-1%5b1%5d.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murad\AppData\Local\Microsoft\Windows\INetCache\IE\RJNNLYX7\mdjfvnf-1%5b1%5d.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murad\AppData\Local\Microsoft\Windows\INetCache\IE\RJNNLYX7\mdjfvnf-1%5b1%5d.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murad\Documents\mostafizzzzzz.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urad\Documents\mostafizzzzzz.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DELL\Desktop\MOSTAFIZZZ\mdjfvnf.xlsx" TargetMode="External"/><Relationship Id="rId1" Type="http://schemas.openxmlformats.org/officeDocument/2006/relationships/themeOverride" Target="../theme/themeOverride4.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Active%20Technology\Downloads\mdjfvnf-1(3).xlsx"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Sheet1!$C$139</c:f>
              <c:strCache>
                <c:ptCount val="1"/>
                <c:pt idx="0">
                  <c:v>Total Investment</c:v>
                </c:pt>
              </c:strCache>
            </c:strRef>
          </c:tx>
          <c:spPr>
            <a:solidFill>
              <a:schemeClr val="accent1"/>
            </a:solidFill>
            <a:ln>
              <a:noFill/>
            </a:ln>
            <a:effectLst/>
          </c:spPr>
          <c:invertIfNegative val="0"/>
          <c:val>
            <c:numRef>
              <c:f>Sheet1!$C$140:$C$144</c:f>
              <c:numCache>
                <c:formatCode>General</c:formatCode>
                <c:ptCount val="5"/>
                <c:pt idx="0">
                  <c:v>264268.59000000003</c:v>
                </c:pt>
                <c:pt idx="1">
                  <c:v>300617.94</c:v>
                </c:pt>
                <c:pt idx="2">
                  <c:v>312773.82</c:v>
                </c:pt>
                <c:pt idx="3">
                  <c:v>342944.15</c:v>
                </c:pt>
                <c:pt idx="4">
                  <c:v>360816.97</c:v>
                </c:pt>
              </c:numCache>
            </c:numRef>
          </c:val>
          <c:extLst>
            <c:ext xmlns:c16="http://schemas.microsoft.com/office/drawing/2014/chart" uri="{C3380CC4-5D6E-409C-BE32-E72D297353CC}">
              <c16:uniqueId val="{00000000-35F2-4385-8F6A-8DDFDB44E28D}"/>
            </c:ext>
          </c:extLst>
        </c:ser>
        <c:dLbls>
          <c:showLegendKey val="0"/>
          <c:showVal val="0"/>
          <c:showCatName val="0"/>
          <c:showSerName val="0"/>
          <c:showPercent val="0"/>
          <c:showBubbleSize val="0"/>
        </c:dLbls>
        <c:gapWidth val="219"/>
        <c:overlap val="-27"/>
        <c:axId val="1088404160"/>
        <c:axId val="1088408512"/>
      </c:barChart>
      <c:lineChart>
        <c:grouping val="standard"/>
        <c:varyColors val="0"/>
        <c:ser>
          <c:idx val="1"/>
          <c:order val="1"/>
          <c:tx>
            <c:strRef>
              <c:f>Sheet1!$D$139</c:f>
              <c:strCache>
                <c:ptCount val="1"/>
                <c:pt idx="0">
                  <c:v>Growth Rate</c:v>
                </c:pt>
              </c:strCache>
            </c:strRef>
          </c:tx>
          <c:spPr>
            <a:ln w="28575" cap="rnd">
              <a:solidFill>
                <a:schemeClr val="accent2"/>
              </a:solidFill>
              <a:round/>
            </a:ln>
            <a:effectLst/>
          </c:spPr>
          <c:marker>
            <c:symbol val="none"/>
          </c:marker>
          <c:val>
            <c:numRef>
              <c:f>Sheet1!$D$140:$D$144</c:f>
              <c:numCache>
                <c:formatCode>0.00%</c:formatCode>
                <c:ptCount val="5"/>
                <c:pt idx="0" formatCode="0%">
                  <c:v>0.11</c:v>
                </c:pt>
                <c:pt idx="1">
                  <c:v>0.13750000000000001</c:v>
                </c:pt>
                <c:pt idx="2">
                  <c:v>4.0399999999999998E-2</c:v>
                </c:pt>
                <c:pt idx="3">
                  <c:v>9.6500000000000002E-2</c:v>
                </c:pt>
                <c:pt idx="4">
                  <c:v>5.21E-2</c:v>
                </c:pt>
              </c:numCache>
            </c:numRef>
          </c:val>
          <c:smooth val="0"/>
          <c:extLst>
            <c:ext xmlns:c16="http://schemas.microsoft.com/office/drawing/2014/chart" uri="{C3380CC4-5D6E-409C-BE32-E72D297353CC}">
              <c16:uniqueId val="{00000001-35F2-4385-8F6A-8DDFDB44E28D}"/>
            </c:ext>
          </c:extLst>
        </c:ser>
        <c:dLbls>
          <c:showLegendKey val="0"/>
          <c:showVal val="0"/>
          <c:showCatName val="0"/>
          <c:showSerName val="0"/>
          <c:showPercent val="0"/>
          <c:showBubbleSize val="0"/>
        </c:dLbls>
        <c:marker val="1"/>
        <c:smooth val="0"/>
        <c:axId val="1088407968"/>
        <c:axId val="1088409056"/>
      </c:lineChart>
      <c:catAx>
        <c:axId val="1088404160"/>
        <c:scaling>
          <c:orientation val="minMax"/>
        </c:scaling>
        <c:delete val="0"/>
        <c:axPos val="b"/>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88408512"/>
        <c:crosses val="autoZero"/>
        <c:auto val="1"/>
        <c:lblAlgn val="ctr"/>
        <c:lblOffset val="100"/>
        <c:noMultiLvlLbl val="0"/>
      </c:catAx>
      <c:valAx>
        <c:axId val="1088408512"/>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88404160"/>
        <c:crosses val="autoZero"/>
        <c:crossBetween val="between"/>
      </c:valAx>
      <c:catAx>
        <c:axId val="1088407968"/>
        <c:scaling>
          <c:orientation val="minMax"/>
        </c:scaling>
        <c:delete val="1"/>
        <c:axPos val="b"/>
        <c:majorTickMark val="out"/>
        <c:minorTickMark val="none"/>
        <c:tickLblPos val="nextTo"/>
        <c:crossAx val="1088409056"/>
        <c:crosses val="autoZero"/>
        <c:auto val="1"/>
        <c:lblAlgn val="ctr"/>
        <c:lblOffset val="100"/>
        <c:noMultiLvlLbl val="0"/>
      </c:catAx>
      <c:valAx>
        <c:axId val="1088409056"/>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88407968"/>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f55eed11-77c1-44e8-9bbd-0d2d973d7e20}"/>
      </c:ext>
    </c:extLst>
  </c:chart>
  <c:spPr>
    <a:solidFill>
      <a:schemeClr val="bg1"/>
    </a:solidFill>
    <a:ln w="9525">
      <a:solidFill>
        <a:schemeClr val="tx1">
          <a:lumMod val="15000"/>
          <a:lumOff val="85000"/>
        </a:schemeClr>
      </a:solidFill>
      <a:round/>
    </a:ln>
    <a:effectLst/>
  </c:spPr>
  <c:txPr>
    <a:bodyPr/>
    <a:lstStyle/>
    <a:p>
      <a:pPr>
        <a:defRPr lang="en-US"/>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Deposit and growth rate </a:t>
            </a:r>
            <a:endParaRPr lang="en-US"/>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Sheet1!$A$100</c:f>
              <c:strCache>
                <c:ptCount val="1"/>
                <c:pt idx="0">
                  <c:v>Years</c:v>
                </c:pt>
              </c:strCache>
            </c:strRef>
          </c:tx>
          <c:spPr>
            <a:solidFill>
              <a:schemeClr val="accent1">
                <a:shade val="65000"/>
              </a:schemeClr>
            </a:solidFill>
            <a:ln>
              <a:noFill/>
            </a:ln>
            <a:effectLst/>
          </c:spPr>
          <c:invertIfNegative val="0"/>
          <c:val>
            <c:numRef>
              <c:f>Sheet1!$A$101:$A$105</c:f>
              <c:numCache>
                <c:formatCode>General</c:formatCode>
                <c:ptCount val="5"/>
                <c:pt idx="0">
                  <c:v>2019</c:v>
                </c:pt>
                <c:pt idx="1">
                  <c:v>2020</c:v>
                </c:pt>
                <c:pt idx="2">
                  <c:v>2021</c:v>
                </c:pt>
                <c:pt idx="3">
                  <c:v>2022</c:v>
                </c:pt>
                <c:pt idx="4">
                  <c:v>2023</c:v>
                </c:pt>
              </c:numCache>
            </c:numRef>
          </c:val>
          <c:extLst>
            <c:ext xmlns:c16="http://schemas.microsoft.com/office/drawing/2014/chart" uri="{C3380CC4-5D6E-409C-BE32-E72D297353CC}">
              <c16:uniqueId val="{00000000-2296-4877-983C-1DD4B183303A}"/>
            </c:ext>
          </c:extLst>
        </c:ser>
        <c:ser>
          <c:idx val="1"/>
          <c:order val="1"/>
          <c:tx>
            <c:strRef>
              <c:f>Sheet1!$B$100</c:f>
              <c:strCache>
                <c:ptCount val="1"/>
                <c:pt idx="0">
                  <c:v>Total Deposit</c:v>
                </c:pt>
              </c:strCache>
            </c:strRef>
          </c:tx>
          <c:spPr>
            <a:solidFill>
              <a:schemeClr val="accent1"/>
            </a:solidFill>
            <a:ln>
              <a:noFill/>
            </a:ln>
            <a:effectLst/>
          </c:spPr>
          <c:invertIfNegative val="0"/>
          <c:val>
            <c:numRef>
              <c:f>Sheet1!$B$101:$B$105</c:f>
              <c:numCache>
                <c:formatCode>General</c:formatCode>
                <c:ptCount val="5"/>
                <c:pt idx="0">
                  <c:v>287936.65000000002</c:v>
                </c:pt>
                <c:pt idx="1">
                  <c:v>322383.51</c:v>
                </c:pt>
                <c:pt idx="2">
                  <c:v>341661.06</c:v>
                </c:pt>
                <c:pt idx="3">
                  <c:v>340950.31</c:v>
                </c:pt>
                <c:pt idx="4">
                  <c:v>357388.84</c:v>
                </c:pt>
              </c:numCache>
            </c:numRef>
          </c:val>
          <c:extLst>
            <c:ext xmlns:c16="http://schemas.microsoft.com/office/drawing/2014/chart" uri="{C3380CC4-5D6E-409C-BE32-E72D297353CC}">
              <c16:uniqueId val="{00000001-2296-4877-983C-1DD4B183303A}"/>
            </c:ext>
          </c:extLst>
        </c:ser>
        <c:dLbls>
          <c:showLegendKey val="0"/>
          <c:showVal val="0"/>
          <c:showCatName val="0"/>
          <c:showSerName val="0"/>
          <c:showPercent val="0"/>
          <c:showBubbleSize val="0"/>
        </c:dLbls>
        <c:gapWidth val="219"/>
        <c:overlap val="-27"/>
        <c:axId val="1088410144"/>
        <c:axId val="1088409600"/>
      </c:barChart>
      <c:lineChart>
        <c:grouping val="standard"/>
        <c:varyColors val="0"/>
        <c:ser>
          <c:idx val="2"/>
          <c:order val="2"/>
          <c:tx>
            <c:strRef>
              <c:f>Sheet1!$C$100</c:f>
              <c:strCache>
                <c:ptCount val="1"/>
                <c:pt idx="0">
                  <c:v>Growth Rate (%)</c:v>
                </c:pt>
              </c:strCache>
            </c:strRef>
          </c:tx>
          <c:spPr>
            <a:ln w="28575" cap="rnd">
              <a:solidFill>
                <a:schemeClr val="accent1">
                  <a:tint val="65000"/>
                </a:schemeClr>
              </a:solidFill>
              <a:round/>
            </a:ln>
            <a:effectLst/>
          </c:spPr>
          <c:marker>
            <c:symbol val="none"/>
          </c:marker>
          <c:val>
            <c:numRef>
              <c:f>Sheet1!$C$101:$C$105</c:f>
              <c:numCache>
                <c:formatCode>0.00%</c:formatCode>
                <c:ptCount val="5"/>
                <c:pt idx="0" formatCode="0%">
                  <c:v>0.16</c:v>
                </c:pt>
                <c:pt idx="1">
                  <c:v>0.1196</c:v>
                </c:pt>
                <c:pt idx="2">
                  <c:v>5.9799999999999999E-2</c:v>
                </c:pt>
                <c:pt idx="3">
                  <c:v>-0.20799999999999999</c:v>
                </c:pt>
                <c:pt idx="4">
                  <c:v>4.82E-2</c:v>
                </c:pt>
              </c:numCache>
            </c:numRef>
          </c:val>
          <c:smooth val="0"/>
          <c:extLst>
            <c:ext xmlns:c16="http://schemas.microsoft.com/office/drawing/2014/chart" uri="{C3380CC4-5D6E-409C-BE32-E72D297353CC}">
              <c16:uniqueId val="{00000002-2296-4877-983C-1DD4B183303A}"/>
            </c:ext>
          </c:extLst>
        </c:ser>
        <c:dLbls>
          <c:showLegendKey val="0"/>
          <c:showVal val="0"/>
          <c:showCatName val="0"/>
          <c:showSerName val="0"/>
          <c:showPercent val="0"/>
          <c:showBubbleSize val="0"/>
        </c:dLbls>
        <c:marker val="1"/>
        <c:smooth val="0"/>
        <c:axId val="1088418304"/>
        <c:axId val="1088405792"/>
      </c:lineChart>
      <c:catAx>
        <c:axId val="1088418304"/>
        <c:scaling>
          <c:orientation val="minMax"/>
        </c:scaling>
        <c:delete val="0"/>
        <c:axPos val="b"/>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88405792"/>
        <c:crosses val="autoZero"/>
        <c:auto val="1"/>
        <c:lblAlgn val="ctr"/>
        <c:lblOffset val="100"/>
        <c:noMultiLvlLbl val="0"/>
      </c:catAx>
      <c:valAx>
        <c:axId val="1088405792"/>
        <c:scaling>
          <c:orientation val="minMax"/>
        </c:scaling>
        <c:delete val="0"/>
        <c:axPos val="l"/>
        <c:majorGridlines>
          <c:spPr>
            <a:ln w="9525">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88418304"/>
        <c:crosses val="autoZero"/>
        <c:crossBetween val="between"/>
      </c:valAx>
      <c:catAx>
        <c:axId val="1088410144"/>
        <c:scaling>
          <c:orientation val="minMax"/>
        </c:scaling>
        <c:delete val="1"/>
        <c:axPos val="b"/>
        <c:majorTickMark val="out"/>
        <c:minorTickMark val="none"/>
        <c:tickLblPos val="nextTo"/>
        <c:crossAx val="1088409600"/>
        <c:crosses val="autoZero"/>
        <c:auto val="1"/>
        <c:lblAlgn val="ctr"/>
        <c:lblOffset val="100"/>
        <c:noMultiLvlLbl val="0"/>
      </c:catAx>
      <c:valAx>
        <c:axId val="108840960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88410144"/>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a6ed1d63-55fb-4747-9574-357acce8989a}"/>
      </c:ext>
    </c:extLst>
  </c:chart>
  <c:spPr>
    <a:solidFill>
      <a:schemeClr val="bg1"/>
    </a:solidFill>
    <a:ln w="9525">
      <a:solidFill>
        <a:schemeClr val="tx1">
          <a:lumMod val="15000"/>
          <a:lumOff val="85000"/>
        </a:schemeClr>
      </a:solidFill>
      <a:round/>
    </a:ln>
    <a:effectLst/>
  </c:spPr>
  <c:txPr>
    <a:bodyPr/>
    <a:lstStyle/>
    <a:p>
      <a:pPr>
        <a:defRPr lang="en-US"/>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GB" sz="1400" b="1" i="0" u="none" strike="noStrike" baseline="0">
                <a:effectLst/>
              </a:rPr>
              <a:t>Investment-deposit ratio </a:t>
            </a:r>
            <a:endParaRPr lang="en-US"/>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Sheet1!$B$124</c:f>
              <c:strCache>
                <c:ptCount val="1"/>
                <c:pt idx="0">
                  <c:v>Years</c:v>
                </c:pt>
              </c:strCache>
            </c:strRef>
          </c:tx>
          <c:spPr>
            <a:solidFill>
              <a:schemeClr val="accent6"/>
            </a:solidFill>
            <a:ln>
              <a:noFill/>
            </a:ln>
            <a:effectLst/>
          </c:spPr>
          <c:invertIfNegative val="0"/>
          <c:val>
            <c:numRef>
              <c:f>Sheet1!$C$124:$G$124</c:f>
              <c:numCache>
                <c:formatCode>General</c:formatCode>
                <c:ptCount val="5"/>
                <c:pt idx="0">
                  <c:v>2019</c:v>
                </c:pt>
                <c:pt idx="1">
                  <c:v>2020</c:v>
                </c:pt>
                <c:pt idx="2">
                  <c:v>2021</c:v>
                </c:pt>
                <c:pt idx="3">
                  <c:v>2022</c:v>
                </c:pt>
                <c:pt idx="4">
                  <c:v>2023</c:v>
                </c:pt>
              </c:numCache>
            </c:numRef>
          </c:val>
          <c:extLst>
            <c:ext xmlns:c16="http://schemas.microsoft.com/office/drawing/2014/chart" uri="{C3380CC4-5D6E-409C-BE32-E72D297353CC}">
              <c16:uniqueId val="{00000000-4C46-4737-9736-5DBAD078AB82}"/>
            </c:ext>
          </c:extLst>
        </c:ser>
        <c:ser>
          <c:idx val="1"/>
          <c:order val="1"/>
          <c:tx>
            <c:strRef>
              <c:f>Sheet1!$B$125</c:f>
              <c:strCache>
                <c:ptCount val="1"/>
                <c:pt idx="0">
                  <c:v>Investment</c:v>
                </c:pt>
              </c:strCache>
            </c:strRef>
          </c:tx>
          <c:spPr>
            <a:solidFill>
              <a:schemeClr val="accent5"/>
            </a:solidFill>
            <a:ln>
              <a:noFill/>
            </a:ln>
            <a:effectLst/>
          </c:spPr>
          <c:invertIfNegative val="0"/>
          <c:val>
            <c:numRef>
              <c:f>Sheet1!$C$125:$G$125</c:f>
              <c:numCache>
                <c:formatCode>General</c:formatCode>
                <c:ptCount val="5"/>
                <c:pt idx="0">
                  <c:v>264268.59000000003</c:v>
                </c:pt>
                <c:pt idx="1">
                  <c:v>300617.94</c:v>
                </c:pt>
                <c:pt idx="2">
                  <c:v>312773.82</c:v>
                </c:pt>
                <c:pt idx="3">
                  <c:v>342944.15</c:v>
                </c:pt>
                <c:pt idx="4">
                  <c:v>360816.7</c:v>
                </c:pt>
              </c:numCache>
            </c:numRef>
          </c:val>
          <c:extLst>
            <c:ext xmlns:c16="http://schemas.microsoft.com/office/drawing/2014/chart" uri="{C3380CC4-5D6E-409C-BE32-E72D297353CC}">
              <c16:uniqueId val="{00000001-4C46-4737-9736-5DBAD078AB82}"/>
            </c:ext>
          </c:extLst>
        </c:ser>
        <c:dLbls>
          <c:showLegendKey val="0"/>
          <c:showVal val="0"/>
          <c:showCatName val="0"/>
          <c:showSerName val="0"/>
          <c:showPercent val="0"/>
          <c:showBubbleSize val="0"/>
        </c:dLbls>
        <c:gapWidth val="219"/>
        <c:overlap val="-27"/>
        <c:axId val="1088404704"/>
        <c:axId val="1088410688"/>
      </c:barChart>
      <c:lineChart>
        <c:grouping val="standard"/>
        <c:varyColors val="0"/>
        <c:ser>
          <c:idx val="3"/>
          <c:order val="3"/>
          <c:tx>
            <c:strRef>
              <c:f>Sheet1!$B$127</c:f>
              <c:strCache>
                <c:ptCount val="1"/>
                <c:pt idx="0">
                  <c:v>Investment/Deposit</c:v>
                </c:pt>
              </c:strCache>
            </c:strRef>
          </c:tx>
          <c:spPr>
            <a:ln w="28575" cap="rnd">
              <a:solidFill>
                <a:schemeClr val="accent6">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val>
            <c:numRef>
              <c:f>Sheet1!$C$127:$G$127</c:f>
              <c:numCache>
                <c:formatCode>0.00%</c:formatCode>
                <c:ptCount val="5"/>
                <c:pt idx="0" formatCode="0%">
                  <c:v>0.92</c:v>
                </c:pt>
                <c:pt idx="1">
                  <c:v>0.93200000000000005</c:v>
                </c:pt>
                <c:pt idx="2">
                  <c:v>0.91500000000000004</c:v>
                </c:pt>
                <c:pt idx="3">
                  <c:v>1.0049999999999999</c:v>
                </c:pt>
                <c:pt idx="4">
                  <c:v>1.0089999999999999</c:v>
                </c:pt>
              </c:numCache>
            </c:numRef>
          </c:val>
          <c:smooth val="0"/>
          <c:extLst>
            <c:ext xmlns:c16="http://schemas.microsoft.com/office/drawing/2014/chart" uri="{C3380CC4-5D6E-409C-BE32-E72D297353CC}">
              <c16:uniqueId val="{00000002-4C46-4737-9736-5DBAD078AB82}"/>
            </c:ext>
          </c:extLst>
        </c:ser>
        <c:dLbls>
          <c:showLegendKey val="0"/>
          <c:showVal val="0"/>
          <c:showCatName val="0"/>
          <c:showSerName val="0"/>
          <c:showPercent val="0"/>
          <c:showBubbleSize val="0"/>
        </c:dLbls>
        <c:marker val="1"/>
        <c:smooth val="0"/>
        <c:axId val="1088412864"/>
        <c:axId val="1088414496"/>
      </c:lineChart>
      <c:lineChart>
        <c:grouping val="standard"/>
        <c:varyColors val="0"/>
        <c:ser>
          <c:idx val="2"/>
          <c:order val="2"/>
          <c:tx>
            <c:strRef>
              <c:f>Sheet1!$B$126</c:f>
              <c:strCache>
                <c:ptCount val="1"/>
                <c:pt idx="0">
                  <c:v>Deposit</c:v>
                </c:pt>
              </c:strCache>
            </c:strRef>
          </c:tx>
          <c:spPr>
            <a:ln w="28575" cap="rnd">
              <a:solidFill>
                <a:schemeClr val="accent4"/>
              </a:solidFill>
              <a:round/>
            </a:ln>
            <a:effectLst/>
          </c:spPr>
          <c:marker>
            <c:symbol val="none"/>
          </c:marker>
          <c:val>
            <c:numRef>
              <c:f>Sheet1!$C$126:$G$126</c:f>
              <c:numCache>
                <c:formatCode>General</c:formatCode>
                <c:ptCount val="5"/>
                <c:pt idx="0">
                  <c:v>287936.65000000002</c:v>
                </c:pt>
                <c:pt idx="1">
                  <c:v>322383.51</c:v>
                </c:pt>
                <c:pt idx="2">
                  <c:v>341661.06</c:v>
                </c:pt>
                <c:pt idx="3">
                  <c:v>340950.31</c:v>
                </c:pt>
                <c:pt idx="4">
                  <c:v>357388.4</c:v>
                </c:pt>
              </c:numCache>
            </c:numRef>
          </c:val>
          <c:smooth val="0"/>
          <c:extLst>
            <c:ext xmlns:c16="http://schemas.microsoft.com/office/drawing/2014/chart" uri="{C3380CC4-5D6E-409C-BE32-E72D297353CC}">
              <c16:uniqueId val="{00000003-4C46-4737-9736-5DBAD078AB82}"/>
            </c:ext>
          </c:extLst>
        </c:ser>
        <c:dLbls>
          <c:showLegendKey val="0"/>
          <c:showVal val="0"/>
          <c:showCatName val="0"/>
          <c:showSerName val="0"/>
          <c:showPercent val="0"/>
          <c:showBubbleSize val="0"/>
        </c:dLbls>
        <c:marker val="1"/>
        <c:smooth val="0"/>
        <c:axId val="1088404704"/>
        <c:axId val="1088410688"/>
      </c:lineChart>
      <c:catAx>
        <c:axId val="1088412864"/>
        <c:scaling>
          <c:orientation val="minMax"/>
        </c:scaling>
        <c:delete val="0"/>
        <c:axPos val="b"/>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88414496"/>
        <c:crosses val="autoZero"/>
        <c:auto val="1"/>
        <c:lblAlgn val="ctr"/>
        <c:lblOffset val="100"/>
        <c:noMultiLvlLbl val="0"/>
      </c:catAx>
      <c:valAx>
        <c:axId val="1088414496"/>
        <c:scaling>
          <c:orientation val="minMax"/>
        </c:scaling>
        <c:delete val="0"/>
        <c:axPos val="l"/>
        <c:majorGridlines>
          <c:spPr>
            <a:ln w="9525">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88412864"/>
        <c:crosses val="autoZero"/>
        <c:crossBetween val="between"/>
      </c:valAx>
      <c:catAx>
        <c:axId val="1088404704"/>
        <c:scaling>
          <c:orientation val="minMax"/>
        </c:scaling>
        <c:delete val="1"/>
        <c:axPos val="b"/>
        <c:majorTickMark val="out"/>
        <c:minorTickMark val="none"/>
        <c:tickLblPos val="nextTo"/>
        <c:crossAx val="1088410688"/>
        <c:crosses val="autoZero"/>
        <c:auto val="1"/>
        <c:lblAlgn val="ctr"/>
        <c:lblOffset val="100"/>
        <c:noMultiLvlLbl val="0"/>
      </c:catAx>
      <c:valAx>
        <c:axId val="10884106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88404704"/>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4158f2c5-1371-48f7-8f20-720d29e445ca}"/>
      </c:ext>
    </c:extLst>
  </c:chart>
  <c:spPr>
    <a:solidFill>
      <a:schemeClr val="bg1"/>
    </a:solidFill>
    <a:ln w="9525">
      <a:solidFill>
        <a:schemeClr val="tx1">
          <a:lumMod val="15000"/>
          <a:lumOff val="85000"/>
        </a:schemeClr>
      </a:solidFill>
      <a:round/>
    </a:ln>
    <a:effectLst/>
  </c:spPr>
  <c:txPr>
    <a:bodyPr/>
    <a:lstStyle/>
    <a:p>
      <a:pPr>
        <a:defRPr lang="en-US"/>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Sheet1!$B$61</c:f>
              <c:strCache>
                <c:ptCount val="1"/>
                <c:pt idx="0">
                  <c:v>1.Within Bangladesh</c:v>
                </c:pt>
              </c:strCache>
            </c:strRef>
          </c:tx>
          <c:spPr>
            <a:ln w="28575" cap="rnd">
              <a:solidFill>
                <a:schemeClr val="accent1"/>
              </a:solidFill>
              <a:round/>
            </a:ln>
            <a:effectLst/>
          </c:spPr>
          <c:marker>
            <c:symbol val="none"/>
          </c:marker>
          <c:cat>
            <c:multiLvlStrRef>
              <c:f>Sheet1!$C$59:$L$60</c:f>
              <c:multiLvlStrCache>
                <c:ptCount val="10"/>
                <c:lvl>
                  <c:pt idx="0">
                    <c:v>Amount</c:v>
                  </c:pt>
                  <c:pt idx="1">
                    <c:v>Composition</c:v>
                  </c:pt>
                  <c:pt idx="2">
                    <c:v>Amount</c:v>
                  </c:pt>
                  <c:pt idx="3">
                    <c:v>Composition</c:v>
                  </c:pt>
                  <c:pt idx="4">
                    <c:v>Amount</c:v>
                  </c:pt>
                  <c:pt idx="5">
                    <c:v>Composition</c:v>
                  </c:pt>
                  <c:pt idx="6">
                    <c:v>Amount</c:v>
                  </c:pt>
                  <c:pt idx="7">
                    <c:v>Composition</c:v>
                  </c:pt>
                  <c:pt idx="8">
                    <c:v>Amount</c:v>
                  </c:pt>
                  <c:pt idx="9">
                    <c:v>Composition</c:v>
                  </c:pt>
                </c:lvl>
                <c:lvl>
                  <c:pt idx="0">
                    <c:v>2019</c:v>
                  </c:pt>
                  <c:pt idx="2">
                    <c:v>2020</c:v>
                  </c:pt>
                  <c:pt idx="4">
                    <c:v>2021</c:v>
                  </c:pt>
                  <c:pt idx="6">
                    <c:v>2022</c:v>
                  </c:pt>
                  <c:pt idx="8">
                    <c:v>2023</c:v>
                  </c:pt>
                </c:lvl>
              </c:multiLvlStrCache>
            </c:multiLvlStrRef>
          </c:cat>
          <c:val>
            <c:numRef>
              <c:f>Sheet1!$C$61:$L$61</c:f>
              <c:numCache>
                <c:formatCode>General</c:formatCode>
                <c:ptCount val="10"/>
              </c:numCache>
            </c:numRef>
          </c:val>
          <c:smooth val="0"/>
          <c:extLst>
            <c:ext xmlns:c16="http://schemas.microsoft.com/office/drawing/2014/chart" uri="{C3380CC4-5D6E-409C-BE32-E72D297353CC}">
              <c16:uniqueId val="{00000000-BAF2-459F-AE28-87C9888F8592}"/>
            </c:ext>
          </c:extLst>
        </c:ser>
        <c:ser>
          <c:idx val="1"/>
          <c:order val="1"/>
          <c:tx>
            <c:strRef>
              <c:f>Sheet1!$B$62</c:f>
              <c:strCache>
                <c:ptCount val="1"/>
                <c:pt idx="0">
                  <c:v>     a)In Rural Areas</c:v>
                </c:pt>
              </c:strCache>
            </c:strRef>
          </c:tx>
          <c:spPr>
            <a:ln w="28575" cap="rnd">
              <a:solidFill>
                <a:schemeClr val="accent2"/>
              </a:solidFill>
              <a:round/>
            </a:ln>
            <a:effectLst/>
          </c:spPr>
          <c:marker>
            <c:symbol val="none"/>
          </c:marker>
          <c:cat>
            <c:multiLvlStrRef>
              <c:f>Sheet1!$C$59:$L$60</c:f>
              <c:multiLvlStrCache>
                <c:ptCount val="10"/>
                <c:lvl>
                  <c:pt idx="0">
                    <c:v>Amount</c:v>
                  </c:pt>
                  <c:pt idx="1">
                    <c:v>Composition</c:v>
                  </c:pt>
                  <c:pt idx="2">
                    <c:v>Amount</c:v>
                  </c:pt>
                  <c:pt idx="3">
                    <c:v>Composition</c:v>
                  </c:pt>
                  <c:pt idx="4">
                    <c:v>Amount</c:v>
                  </c:pt>
                  <c:pt idx="5">
                    <c:v>Composition</c:v>
                  </c:pt>
                  <c:pt idx="6">
                    <c:v>Amount</c:v>
                  </c:pt>
                  <c:pt idx="7">
                    <c:v>Composition</c:v>
                  </c:pt>
                  <c:pt idx="8">
                    <c:v>Amount</c:v>
                  </c:pt>
                  <c:pt idx="9">
                    <c:v>Composition</c:v>
                  </c:pt>
                </c:lvl>
                <c:lvl>
                  <c:pt idx="0">
                    <c:v>2019</c:v>
                  </c:pt>
                  <c:pt idx="2">
                    <c:v>2020</c:v>
                  </c:pt>
                  <c:pt idx="4">
                    <c:v>2021</c:v>
                  </c:pt>
                  <c:pt idx="6">
                    <c:v>2022</c:v>
                  </c:pt>
                  <c:pt idx="8">
                    <c:v>2023</c:v>
                  </c:pt>
                </c:lvl>
              </c:multiLvlStrCache>
            </c:multiLvlStrRef>
          </c:cat>
          <c:val>
            <c:numRef>
              <c:f>Sheet1!$C$62:$L$62</c:f>
              <c:numCache>
                <c:formatCode>General</c:formatCode>
                <c:ptCount val="10"/>
                <c:pt idx="0">
                  <c:v>26431716557</c:v>
                </c:pt>
                <c:pt idx="1">
                  <c:v>0</c:v>
                </c:pt>
                <c:pt idx="2">
                  <c:v>28753581886</c:v>
                </c:pt>
                <c:pt idx="3" formatCode="0.00%">
                  <c:v>9.5600000000000004E-2</c:v>
                </c:pt>
                <c:pt idx="4">
                  <c:v>28766289119</c:v>
                </c:pt>
                <c:pt idx="5" formatCode="0.00%">
                  <c:v>9.1999999999999998E-2</c:v>
                </c:pt>
                <c:pt idx="6">
                  <c:v>30095633846</c:v>
                </c:pt>
                <c:pt idx="7" formatCode="0.00%">
                  <c:v>8.7800000000000003E-2</c:v>
                </c:pt>
                <c:pt idx="8">
                  <c:v>30602872252</c:v>
                </c:pt>
                <c:pt idx="9" formatCode="0.00%">
                  <c:v>8.48E-2</c:v>
                </c:pt>
              </c:numCache>
            </c:numRef>
          </c:val>
          <c:smooth val="0"/>
          <c:extLst>
            <c:ext xmlns:c16="http://schemas.microsoft.com/office/drawing/2014/chart" uri="{C3380CC4-5D6E-409C-BE32-E72D297353CC}">
              <c16:uniqueId val="{00000001-BAF2-459F-AE28-87C9888F8592}"/>
            </c:ext>
          </c:extLst>
        </c:ser>
        <c:ser>
          <c:idx val="2"/>
          <c:order val="2"/>
          <c:tx>
            <c:strRef>
              <c:f>Sheet1!$B$63</c:f>
              <c:strCache>
                <c:ptCount val="1"/>
                <c:pt idx="0">
                  <c:v>     b)In Urban Areas</c:v>
                </c:pt>
              </c:strCache>
            </c:strRef>
          </c:tx>
          <c:spPr>
            <a:ln w="28575" cap="rnd">
              <a:solidFill>
                <a:schemeClr val="accent3"/>
              </a:solidFill>
              <a:round/>
            </a:ln>
            <a:effectLst/>
          </c:spPr>
          <c:marker>
            <c:symbol val="none"/>
          </c:marker>
          <c:cat>
            <c:multiLvlStrRef>
              <c:f>Sheet1!$C$59:$L$60</c:f>
              <c:multiLvlStrCache>
                <c:ptCount val="10"/>
                <c:lvl>
                  <c:pt idx="0">
                    <c:v>Amount</c:v>
                  </c:pt>
                  <c:pt idx="1">
                    <c:v>Composition</c:v>
                  </c:pt>
                  <c:pt idx="2">
                    <c:v>Amount</c:v>
                  </c:pt>
                  <c:pt idx="3">
                    <c:v>Composition</c:v>
                  </c:pt>
                  <c:pt idx="4">
                    <c:v>Amount</c:v>
                  </c:pt>
                  <c:pt idx="5">
                    <c:v>Composition</c:v>
                  </c:pt>
                  <c:pt idx="6">
                    <c:v>Amount</c:v>
                  </c:pt>
                  <c:pt idx="7">
                    <c:v>Composition</c:v>
                  </c:pt>
                  <c:pt idx="8">
                    <c:v>Amount</c:v>
                  </c:pt>
                  <c:pt idx="9">
                    <c:v>Composition</c:v>
                  </c:pt>
                </c:lvl>
                <c:lvl>
                  <c:pt idx="0">
                    <c:v>2019</c:v>
                  </c:pt>
                  <c:pt idx="2">
                    <c:v>2020</c:v>
                  </c:pt>
                  <c:pt idx="4">
                    <c:v>2021</c:v>
                  </c:pt>
                  <c:pt idx="6">
                    <c:v>2022</c:v>
                  </c:pt>
                  <c:pt idx="8">
                    <c:v>2023</c:v>
                  </c:pt>
                </c:lvl>
              </c:multiLvlStrCache>
            </c:multiLvlStrRef>
          </c:cat>
          <c:val>
            <c:numRef>
              <c:f>Sheet1!$C$63:$L$63</c:f>
              <c:numCache>
                <c:formatCode>0%</c:formatCode>
                <c:ptCount val="10"/>
                <c:pt idx="0" formatCode="General">
                  <c:v>237836873092</c:v>
                </c:pt>
                <c:pt idx="1">
                  <c:v>0.1</c:v>
                </c:pt>
                <c:pt idx="2" formatCode="General">
                  <c:v>271864361679</c:v>
                </c:pt>
                <c:pt idx="3" formatCode="0.00%">
                  <c:v>0.90439999999999998</c:v>
                </c:pt>
                <c:pt idx="4" formatCode="General">
                  <c:v>284007531409</c:v>
                </c:pt>
                <c:pt idx="5" formatCode="0.00%">
                  <c:v>0.90800000000000003</c:v>
                </c:pt>
                <c:pt idx="6" formatCode="General">
                  <c:v>312848523656</c:v>
                </c:pt>
                <c:pt idx="7" formatCode="0.00%">
                  <c:v>0.91220000000000001</c:v>
                </c:pt>
                <c:pt idx="8" formatCode="General">
                  <c:v>330214106019</c:v>
                </c:pt>
                <c:pt idx="9" formatCode="0.00%">
                  <c:v>0.91520000000000001</c:v>
                </c:pt>
              </c:numCache>
            </c:numRef>
          </c:val>
          <c:smooth val="0"/>
          <c:extLst>
            <c:ext xmlns:c16="http://schemas.microsoft.com/office/drawing/2014/chart" uri="{C3380CC4-5D6E-409C-BE32-E72D297353CC}">
              <c16:uniqueId val="{00000002-BAF2-459F-AE28-87C9888F8592}"/>
            </c:ext>
          </c:extLst>
        </c:ser>
        <c:ser>
          <c:idx val="3"/>
          <c:order val="3"/>
          <c:tx>
            <c:strRef>
              <c:f>Sheet1!$B$64</c:f>
              <c:strCache>
                <c:ptCount val="1"/>
                <c:pt idx="0">
                  <c:v>Total</c:v>
                </c:pt>
              </c:strCache>
            </c:strRef>
          </c:tx>
          <c:spPr>
            <a:ln w="28575" cap="rnd">
              <a:solidFill>
                <a:schemeClr val="accent4"/>
              </a:solidFill>
              <a:round/>
            </a:ln>
            <a:effectLst/>
          </c:spPr>
          <c:marker>
            <c:symbol val="none"/>
          </c:marker>
          <c:cat>
            <c:multiLvlStrRef>
              <c:f>Sheet1!$C$59:$L$60</c:f>
              <c:multiLvlStrCache>
                <c:ptCount val="10"/>
                <c:lvl>
                  <c:pt idx="0">
                    <c:v>Amount</c:v>
                  </c:pt>
                  <c:pt idx="1">
                    <c:v>Composition</c:v>
                  </c:pt>
                  <c:pt idx="2">
                    <c:v>Amount</c:v>
                  </c:pt>
                  <c:pt idx="3">
                    <c:v>Composition</c:v>
                  </c:pt>
                  <c:pt idx="4">
                    <c:v>Amount</c:v>
                  </c:pt>
                  <c:pt idx="5">
                    <c:v>Composition</c:v>
                  </c:pt>
                  <c:pt idx="6">
                    <c:v>Amount</c:v>
                  </c:pt>
                  <c:pt idx="7">
                    <c:v>Composition</c:v>
                  </c:pt>
                  <c:pt idx="8">
                    <c:v>Amount</c:v>
                  </c:pt>
                  <c:pt idx="9">
                    <c:v>Composition</c:v>
                  </c:pt>
                </c:lvl>
                <c:lvl>
                  <c:pt idx="0">
                    <c:v>2019</c:v>
                  </c:pt>
                  <c:pt idx="2">
                    <c:v>2020</c:v>
                  </c:pt>
                  <c:pt idx="4">
                    <c:v>2021</c:v>
                  </c:pt>
                  <c:pt idx="6">
                    <c:v>2022</c:v>
                  </c:pt>
                  <c:pt idx="8">
                    <c:v>2023</c:v>
                  </c:pt>
                </c:lvl>
              </c:multiLvlStrCache>
            </c:multiLvlStrRef>
          </c:cat>
          <c:val>
            <c:numRef>
              <c:f>Sheet1!$C$64:$L$64</c:f>
              <c:numCache>
                <c:formatCode>0%</c:formatCode>
                <c:ptCount val="10"/>
                <c:pt idx="0" formatCode="General">
                  <c:v>264268589649</c:v>
                </c:pt>
                <c:pt idx="1">
                  <c:v>1</c:v>
                </c:pt>
                <c:pt idx="2" formatCode="General">
                  <c:v>300617943566</c:v>
                </c:pt>
                <c:pt idx="3">
                  <c:v>1</c:v>
                </c:pt>
                <c:pt idx="4" formatCode="General">
                  <c:v>312773820529</c:v>
                </c:pt>
                <c:pt idx="5">
                  <c:v>1</c:v>
                </c:pt>
                <c:pt idx="6" formatCode="General">
                  <c:v>342944157503</c:v>
                </c:pt>
                <c:pt idx="7">
                  <c:v>1</c:v>
                </c:pt>
                <c:pt idx="8" formatCode="General">
                  <c:v>360816978271</c:v>
                </c:pt>
                <c:pt idx="9">
                  <c:v>1</c:v>
                </c:pt>
              </c:numCache>
            </c:numRef>
          </c:val>
          <c:smooth val="0"/>
          <c:extLst>
            <c:ext xmlns:c16="http://schemas.microsoft.com/office/drawing/2014/chart" uri="{C3380CC4-5D6E-409C-BE32-E72D297353CC}">
              <c16:uniqueId val="{00000003-BAF2-459F-AE28-87C9888F8592}"/>
            </c:ext>
          </c:extLst>
        </c:ser>
        <c:ser>
          <c:idx val="4"/>
          <c:order val="4"/>
          <c:tx>
            <c:strRef>
              <c:f>Sheet1!$B$65</c:f>
              <c:strCache>
                <c:ptCount val="1"/>
                <c:pt idx="0">
                  <c:v>2.Outside Bangldesh</c:v>
                </c:pt>
              </c:strCache>
            </c:strRef>
          </c:tx>
          <c:spPr>
            <a:ln w="28575" cap="rnd">
              <a:solidFill>
                <a:schemeClr val="accent5"/>
              </a:solidFill>
              <a:round/>
            </a:ln>
            <a:effectLst/>
          </c:spPr>
          <c:marker>
            <c:symbol val="none"/>
          </c:marker>
          <c:cat>
            <c:multiLvlStrRef>
              <c:f>Sheet1!$C$59:$L$60</c:f>
              <c:multiLvlStrCache>
                <c:ptCount val="10"/>
                <c:lvl>
                  <c:pt idx="0">
                    <c:v>Amount</c:v>
                  </c:pt>
                  <c:pt idx="1">
                    <c:v>Composition</c:v>
                  </c:pt>
                  <c:pt idx="2">
                    <c:v>Amount</c:v>
                  </c:pt>
                  <c:pt idx="3">
                    <c:v>Composition</c:v>
                  </c:pt>
                  <c:pt idx="4">
                    <c:v>Amount</c:v>
                  </c:pt>
                  <c:pt idx="5">
                    <c:v>Composition</c:v>
                  </c:pt>
                  <c:pt idx="6">
                    <c:v>Amount</c:v>
                  </c:pt>
                  <c:pt idx="7">
                    <c:v>Composition</c:v>
                  </c:pt>
                  <c:pt idx="8">
                    <c:v>Amount</c:v>
                  </c:pt>
                  <c:pt idx="9">
                    <c:v>Composition</c:v>
                  </c:pt>
                </c:lvl>
                <c:lvl>
                  <c:pt idx="0">
                    <c:v>2019</c:v>
                  </c:pt>
                  <c:pt idx="2">
                    <c:v>2020</c:v>
                  </c:pt>
                  <c:pt idx="4">
                    <c:v>2021</c:v>
                  </c:pt>
                  <c:pt idx="6">
                    <c:v>2022</c:v>
                  </c:pt>
                  <c:pt idx="8">
                    <c:v>2023</c:v>
                  </c:pt>
                </c:lvl>
              </c:multiLvlStrCache>
            </c:multiLvlStrRef>
          </c:cat>
          <c:val>
            <c:numRef>
              <c:f>Sheet1!$C$65:$L$65</c:f>
              <c:numCache>
                <c:formatCode>General</c:formatCode>
                <c:ptCount val="10"/>
              </c:numCache>
            </c:numRef>
          </c:val>
          <c:smooth val="0"/>
          <c:extLst>
            <c:ext xmlns:c16="http://schemas.microsoft.com/office/drawing/2014/chart" uri="{C3380CC4-5D6E-409C-BE32-E72D297353CC}">
              <c16:uniqueId val="{00000004-BAF2-459F-AE28-87C9888F8592}"/>
            </c:ext>
          </c:extLst>
        </c:ser>
        <c:ser>
          <c:idx val="5"/>
          <c:order val="5"/>
          <c:tx>
            <c:strRef>
              <c:f>Sheet1!$B$66</c:f>
              <c:strCache>
                <c:ptCount val="1"/>
                <c:pt idx="0">
                  <c:v>Total (1+2)</c:v>
                </c:pt>
              </c:strCache>
            </c:strRef>
          </c:tx>
          <c:spPr>
            <a:ln w="28575" cap="rnd">
              <a:solidFill>
                <a:schemeClr val="accent6"/>
              </a:solidFill>
              <a:round/>
            </a:ln>
            <a:effectLst/>
          </c:spPr>
          <c:marker>
            <c:symbol val="none"/>
          </c:marker>
          <c:cat>
            <c:multiLvlStrRef>
              <c:f>Sheet1!$C$59:$L$60</c:f>
              <c:multiLvlStrCache>
                <c:ptCount val="10"/>
                <c:lvl>
                  <c:pt idx="0">
                    <c:v>Amount</c:v>
                  </c:pt>
                  <c:pt idx="1">
                    <c:v>Composition</c:v>
                  </c:pt>
                  <c:pt idx="2">
                    <c:v>Amount</c:v>
                  </c:pt>
                  <c:pt idx="3">
                    <c:v>Composition</c:v>
                  </c:pt>
                  <c:pt idx="4">
                    <c:v>Amount</c:v>
                  </c:pt>
                  <c:pt idx="5">
                    <c:v>Composition</c:v>
                  </c:pt>
                  <c:pt idx="6">
                    <c:v>Amount</c:v>
                  </c:pt>
                  <c:pt idx="7">
                    <c:v>Composition</c:v>
                  </c:pt>
                  <c:pt idx="8">
                    <c:v>Amount</c:v>
                  </c:pt>
                  <c:pt idx="9">
                    <c:v>Composition</c:v>
                  </c:pt>
                </c:lvl>
                <c:lvl>
                  <c:pt idx="0">
                    <c:v>2019</c:v>
                  </c:pt>
                  <c:pt idx="2">
                    <c:v>2020</c:v>
                  </c:pt>
                  <c:pt idx="4">
                    <c:v>2021</c:v>
                  </c:pt>
                  <c:pt idx="6">
                    <c:v>2022</c:v>
                  </c:pt>
                  <c:pt idx="8">
                    <c:v>2023</c:v>
                  </c:pt>
                </c:lvl>
              </c:multiLvlStrCache>
            </c:multiLvlStrRef>
          </c:cat>
          <c:val>
            <c:numRef>
              <c:f>Sheet1!$C$66:$L$66</c:f>
              <c:numCache>
                <c:formatCode>0%</c:formatCode>
                <c:ptCount val="10"/>
                <c:pt idx="0" formatCode="General">
                  <c:v>264268589649</c:v>
                </c:pt>
                <c:pt idx="1">
                  <c:v>1</c:v>
                </c:pt>
                <c:pt idx="2" formatCode="General">
                  <c:v>300617943566</c:v>
                </c:pt>
                <c:pt idx="3">
                  <c:v>1</c:v>
                </c:pt>
                <c:pt idx="4" formatCode="General">
                  <c:v>312773820529</c:v>
                </c:pt>
                <c:pt idx="5">
                  <c:v>1</c:v>
                </c:pt>
                <c:pt idx="6" formatCode="General">
                  <c:v>342944157503</c:v>
                </c:pt>
                <c:pt idx="7">
                  <c:v>1</c:v>
                </c:pt>
                <c:pt idx="8" formatCode="General">
                  <c:v>360816978271</c:v>
                </c:pt>
                <c:pt idx="9">
                  <c:v>1</c:v>
                </c:pt>
              </c:numCache>
            </c:numRef>
          </c:val>
          <c:smooth val="0"/>
          <c:extLst>
            <c:ext xmlns:c16="http://schemas.microsoft.com/office/drawing/2014/chart" uri="{C3380CC4-5D6E-409C-BE32-E72D297353CC}">
              <c16:uniqueId val="{00000005-BAF2-459F-AE28-87C9888F8592}"/>
            </c:ext>
          </c:extLst>
        </c:ser>
        <c:dLbls>
          <c:showLegendKey val="0"/>
          <c:showVal val="0"/>
          <c:showCatName val="0"/>
          <c:showSerName val="0"/>
          <c:showPercent val="0"/>
          <c:showBubbleSize val="0"/>
        </c:dLbls>
        <c:smooth val="0"/>
        <c:axId val="1088411232"/>
        <c:axId val="1088413408"/>
      </c:lineChart>
      <c:catAx>
        <c:axId val="108841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88413408"/>
        <c:crosses val="autoZero"/>
        <c:auto val="1"/>
        <c:lblAlgn val="ctr"/>
        <c:lblOffset val="100"/>
        <c:noMultiLvlLbl val="0"/>
      </c:catAx>
      <c:valAx>
        <c:axId val="108841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8841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0b79100f-7e4d-4ece-b90f-d7a6f253bb2e}"/>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Sheet1!$D$75</c:f>
              <c:strCache>
                <c:ptCount val="1"/>
                <c:pt idx="0">
                  <c:v>Dhaka</c:v>
                </c:pt>
              </c:strCache>
            </c:strRef>
          </c:tx>
          <c:spPr>
            <a:solidFill>
              <a:schemeClr val="accent1"/>
            </a:solidFill>
            <a:ln>
              <a:noFill/>
            </a:ln>
            <a:effectLst/>
          </c:spPr>
          <c:invertIfNegative val="0"/>
          <c:cat>
            <c:multiLvlStrRef>
              <c:f>Sheet1!$E$73:$I$74</c:f>
              <c:multiLvlStrCache>
                <c:ptCount val="5"/>
                <c:lvl>
                  <c:pt idx="0">
                    <c:v>Amount</c:v>
                  </c:pt>
                  <c:pt idx="1">
                    <c:v>Amount</c:v>
                  </c:pt>
                  <c:pt idx="2">
                    <c:v>Amount</c:v>
                  </c:pt>
                  <c:pt idx="3">
                    <c:v>Amount</c:v>
                  </c:pt>
                  <c:pt idx="4">
                    <c:v>Amount</c:v>
                  </c:pt>
                </c:lvl>
                <c:lvl>
                  <c:pt idx="0">
                    <c:v>2019</c:v>
                  </c:pt>
                  <c:pt idx="1">
                    <c:v>2020</c:v>
                  </c:pt>
                  <c:pt idx="2">
                    <c:v>2021</c:v>
                  </c:pt>
                  <c:pt idx="3">
                    <c:v>2022</c:v>
                  </c:pt>
                  <c:pt idx="4">
                    <c:v>2023</c:v>
                  </c:pt>
                </c:lvl>
              </c:multiLvlStrCache>
            </c:multiLvlStrRef>
          </c:cat>
          <c:val>
            <c:numRef>
              <c:f>Sheet1!$E$75:$I$75</c:f>
              <c:numCache>
                <c:formatCode>General</c:formatCode>
                <c:ptCount val="5"/>
                <c:pt idx="0">
                  <c:v>194694679083</c:v>
                </c:pt>
                <c:pt idx="1">
                  <c:v>219164567260</c:v>
                </c:pt>
                <c:pt idx="2">
                  <c:v>229706004293</c:v>
                </c:pt>
                <c:pt idx="3">
                  <c:v>254009383933</c:v>
                </c:pt>
                <c:pt idx="4">
                  <c:v>267678759507</c:v>
                </c:pt>
              </c:numCache>
            </c:numRef>
          </c:val>
          <c:extLst>
            <c:ext xmlns:c16="http://schemas.microsoft.com/office/drawing/2014/chart" uri="{C3380CC4-5D6E-409C-BE32-E72D297353CC}">
              <c16:uniqueId val="{00000000-D9C9-429E-A175-C219C08CEF63}"/>
            </c:ext>
          </c:extLst>
        </c:ser>
        <c:ser>
          <c:idx val="1"/>
          <c:order val="1"/>
          <c:tx>
            <c:strRef>
              <c:f>Sheet1!$D$76</c:f>
              <c:strCache>
                <c:ptCount val="1"/>
                <c:pt idx="0">
                  <c:v>Chittagong</c:v>
                </c:pt>
              </c:strCache>
            </c:strRef>
          </c:tx>
          <c:spPr>
            <a:solidFill>
              <a:schemeClr val="accent2"/>
            </a:solidFill>
            <a:ln>
              <a:noFill/>
            </a:ln>
            <a:effectLst/>
          </c:spPr>
          <c:invertIfNegative val="0"/>
          <c:cat>
            <c:multiLvlStrRef>
              <c:f>Sheet1!$E$73:$I$74</c:f>
              <c:multiLvlStrCache>
                <c:ptCount val="5"/>
                <c:lvl>
                  <c:pt idx="0">
                    <c:v>Amount</c:v>
                  </c:pt>
                  <c:pt idx="1">
                    <c:v>Amount</c:v>
                  </c:pt>
                  <c:pt idx="2">
                    <c:v>Amount</c:v>
                  </c:pt>
                  <c:pt idx="3">
                    <c:v>Amount</c:v>
                  </c:pt>
                  <c:pt idx="4">
                    <c:v>Amount</c:v>
                  </c:pt>
                </c:lvl>
                <c:lvl>
                  <c:pt idx="0">
                    <c:v>2019</c:v>
                  </c:pt>
                  <c:pt idx="1">
                    <c:v>2020</c:v>
                  </c:pt>
                  <c:pt idx="2">
                    <c:v>2021</c:v>
                  </c:pt>
                  <c:pt idx="3">
                    <c:v>2022</c:v>
                  </c:pt>
                  <c:pt idx="4">
                    <c:v>2023</c:v>
                  </c:pt>
                </c:lvl>
              </c:multiLvlStrCache>
            </c:multiLvlStrRef>
          </c:cat>
          <c:val>
            <c:numRef>
              <c:f>Sheet1!$E$76:$I$76</c:f>
              <c:numCache>
                <c:formatCode>General</c:formatCode>
                <c:ptCount val="5"/>
                <c:pt idx="0">
                  <c:v>50488355028</c:v>
                </c:pt>
                <c:pt idx="1">
                  <c:v>62316540044</c:v>
                </c:pt>
                <c:pt idx="2">
                  <c:v>64502642480</c:v>
                </c:pt>
                <c:pt idx="3">
                  <c:v>69266638635</c:v>
                </c:pt>
                <c:pt idx="4">
                  <c:v>72611074775</c:v>
                </c:pt>
              </c:numCache>
            </c:numRef>
          </c:val>
          <c:extLst>
            <c:ext xmlns:c16="http://schemas.microsoft.com/office/drawing/2014/chart" uri="{C3380CC4-5D6E-409C-BE32-E72D297353CC}">
              <c16:uniqueId val="{00000001-D9C9-429E-A175-C219C08CEF63}"/>
            </c:ext>
          </c:extLst>
        </c:ser>
        <c:ser>
          <c:idx val="2"/>
          <c:order val="2"/>
          <c:tx>
            <c:strRef>
              <c:f>Sheet1!$D$77</c:f>
              <c:strCache>
                <c:ptCount val="1"/>
                <c:pt idx="0">
                  <c:v>Sylhet</c:v>
                </c:pt>
              </c:strCache>
            </c:strRef>
          </c:tx>
          <c:spPr>
            <a:solidFill>
              <a:schemeClr val="accent3"/>
            </a:solidFill>
            <a:ln>
              <a:noFill/>
            </a:ln>
            <a:effectLst/>
          </c:spPr>
          <c:invertIfNegative val="0"/>
          <c:cat>
            <c:multiLvlStrRef>
              <c:f>Sheet1!$E$73:$I$74</c:f>
              <c:multiLvlStrCache>
                <c:ptCount val="5"/>
                <c:lvl>
                  <c:pt idx="0">
                    <c:v>Amount</c:v>
                  </c:pt>
                  <c:pt idx="1">
                    <c:v>Amount</c:v>
                  </c:pt>
                  <c:pt idx="2">
                    <c:v>Amount</c:v>
                  </c:pt>
                  <c:pt idx="3">
                    <c:v>Amount</c:v>
                  </c:pt>
                  <c:pt idx="4">
                    <c:v>Amount</c:v>
                  </c:pt>
                </c:lvl>
                <c:lvl>
                  <c:pt idx="0">
                    <c:v>2019</c:v>
                  </c:pt>
                  <c:pt idx="1">
                    <c:v>2020</c:v>
                  </c:pt>
                  <c:pt idx="2">
                    <c:v>2021</c:v>
                  </c:pt>
                  <c:pt idx="3">
                    <c:v>2022</c:v>
                  </c:pt>
                  <c:pt idx="4">
                    <c:v>2023</c:v>
                  </c:pt>
                </c:lvl>
              </c:multiLvlStrCache>
            </c:multiLvlStrRef>
          </c:cat>
          <c:val>
            <c:numRef>
              <c:f>Sheet1!$E$77:$I$77</c:f>
              <c:numCache>
                <c:formatCode>General</c:formatCode>
                <c:ptCount val="5"/>
                <c:pt idx="0">
                  <c:v>596444575</c:v>
                </c:pt>
                <c:pt idx="1">
                  <c:v>559850559</c:v>
                </c:pt>
                <c:pt idx="2">
                  <c:v>536130298</c:v>
                </c:pt>
                <c:pt idx="3">
                  <c:v>790794787</c:v>
                </c:pt>
                <c:pt idx="4">
                  <c:v>1478424918</c:v>
                </c:pt>
              </c:numCache>
            </c:numRef>
          </c:val>
          <c:extLst>
            <c:ext xmlns:c16="http://schemas.microsoft.com/office/drawing/2014/chart" uri="{C3380CC4-5D6E-409C-BE32-E72D297353CC}">
              <c16:uniqueId val="{00000002-D9C9-429E-A175-C219C08CEF63}"/>
            </c:ext>
          </c:extLst>
        </c:ser>
        <c:ser>
          <c:idx val="3"/>
          <c:order val="3"/>
          <c:tx>
            <c:strRef>
              <c:f>Sheet1!$D$78</c:f>
              <c:strCache>
                <c:ptCount val="1"/>
                <c:pt idx="0">
                  <c:v>Rajshahi</c:v>
                </c:pt>
              </c:strCache>
            </c:strRef>
          </c:tx>
          <c:spPr>
            <a:solidFill>
              <a:schemeClr val="accent4"/>
            </a:solidFill>
            <a:ln>
              <a:noFill/>
            </a:ln>
            <a:effectLst/>
          </c:spPr>
          <c:invertIfNegative val="0"/>
          <c:cat>
            <c:multiLvlStrRef>
              <c:f>Sheet1!$E$73:$I$74</c:f>
              <c:multiLvlStrCache>
                <c:ptCount val="5"/>
                <c:lvl>
                  <c:pt idx="0">
                    <c:v>Amount</c:v>
                  </c:pt>
                  <c:pt idx="1">
                    <c:v>Amount</c:v>
                  </c:pt>
                  <c:pt idx="2">
                    <c:v>Amount</c:v>
                  </c:pt>
                  <c:pt idx="3">
                    <c:v>Amount</c:v>
                  </c:pt>
                  <c:pt idx="4">
                    <c:v>Amount</c:v>
                  </c:pt>
                </c:lvl>
                <c:lvl>
                  <c:pt idx="0">
                    <c:v>2019</c:v>
                  </c:pt>
                  <c:pt idx="1">
                    <c:v>2020</c:v>
                  </c:pt>
                  <c:pt idx="2">
                    <c:v>2021</c:v>
                  </c:pt>
                  <c:pt idx="3">
                    <c:v>2022</c:v>
                  </c:pt>
                  <c:pt idx="4">
                    <c:v>2023</c:v>
                  </c:pt>
                </c:lvl>
              </c:multiLvlStrCache>
            </c:multiLvlStrRef>
          </c:cat>
          <c:val>
            <c:numRef>
              <c:f>Sheet1!$E$78:$I$78</c:f>
              <c:numCache>
                <c:formatCode>General</c:formatCode>
                <c:ptCount val="5"/>
                <c:pt idx="0">
                  <c:v>6474479583</c:v>
                </c:pt>
                <c:pt idx="1">
                  <c:v>6443695356</c:v>
                </c:pt>
                <c:pt idx="2">
                  <c:v>6352500803</c:v>
                </c:pt>
                <c:pt idx="3">
                  <c:v>6560741567</c:v>
                </c:pt>
                <c:pt idx="4">
                  <c:v>6317894895</c:v>
                </c:pt>
              </c:numCache>
            </c:numRef>
          </c:val>
          <c:extLst>
            <c:ext xmlns:c16="http://schemas.microsoft.com/office/drawing/2014/chart" uri="{C3380CC4-5D6E-409C-BE32-E72D297353CC}">
              <c16:uniqueId val="{00000003-D9C9-429E-A175-C219C08CEF63}"/>
            </c:ext>
          </c:extLst>
        </c:ser>
        <c:ser>
          <c:idx val="4"/>
          <c:order val="4"/>
          <c:tx>
            <c:strRef>
              <c:f>Sheet1!$D$79</c:f>
              <c:strCache>
                <c:ptCount val="1"/>
                <c:pt idx="0">
                  <c:v>Khulna</c:v>
                </c:pt>
              </c:strCache>
            </c:strRef>
          </c:tx>
          <c:spPr>
            <a:solidFill>
              <a:schemeClr val="accent5"/>
            </a:solidFill>
            <a:ln>
              <a:noFill/>
            </a:ln>
            <a:effectLst/>
          </c:spPr>
          <c:invertIfNegative val="0"/>
          <c:cat>
            <c:multiLvlStrRef>
              <c:f>Sheet1!$E$73:$I$74</c:f>
              <c:multiLvlStrCache>
                <c:ptCount val="5"/>
                <c:lvl>
                  <c:pt idx="0">
                    <c:v>Amount</c:v>
                  </c:pt>
                  <c:pt idx="1">
                    <c:v>Amount</c:v>
                  </c:pt>
                  <c:pt idx="2">
                    <c:v>Amount</c:v>
                  </c:pt>
                  <c:pt idx="3">
                    <c:v>Amount</c:v>
                  </c:pt>
                  <c:pt idx="4">
                    <c:v>Amount</c:v>
                  </c:pt>
                </c:lvl>
                <c:lvl>
                  <c:pt idx="0">
                    <c:v>2019</c:v>
                  </c:pt>
                  <c:pt idx="1">
                    <c:v>2020</c:v>
                  </c:pt>
                  <c:pt idx="2">
                    <c:v>2021</c:v>
                  </c:pt>
                  <c:pt idx="3">
                    <c:v>2022</c:v>
                  </c:pt>
                  <c:pt idx="4">
                    <c:v>2023</c:v>
                  </c:pt>
                </c:lvl>
              </c:multiLvlStrCache>
            </c:multiLvlStrRef>
          </c:cat>
          <c:val>
            <c:numRef>
              <c:f>Sheet1!$E$79:$I$79</c:f>
              <c:numCache>
                <c:formatCode>General</c:formatCode>
                <c:ptCount val="5"/>
                <c:pt idx="0">
                  <c:v>6245768176</c:v>
                </c:pt>
                <c:pt idx="1">
                  <c:v>6429542620</c:v>
                </c:pt>
                <c:pt idx="2">
                  <c:v>6296518408</c:v>
                </c:pt>
                <c:pt idx="3">
                  <c:v>7009059035</c:v>
                </c:pt>
                <c:pt idx="4">
                  <c:v>6906705509</c:v>
                </c:pt>
              </c:numCache>
            </c:numRef>
          </c:val>
          <c:extLst>
            <c:ext xmlns:c16="http://schemas.microsoft.com/office/drawing/2014/chart" uri="{C3380CC4-5D6E-409C-BE32-E72D297353CC}">
              <c16:uniqueId val="{00000004-D9C9-429E-A175-C219C08CEF63}"/>
            </c:ext>
          </c:extLst>
        </c:ser>
        <c:ser>
          <c:idx val="5"/>
          <c:order val="5"/>
          <c:tx>
            <c:strRef>
              <c:f>Sheet1!$D$80</c:f>
              <c:strCache>
                <c:ptCount val="1"/>
                <c:pt idx="0">
                  <c:v>Rangpur</c:v>
                </c:pt>
              </c:strCache>
            </c:strRef>
          </c:tx>
          <c:spPr>
            <a:solidFill>
              <a:schemeClr val="accent6"/>
            </a:solidFill>
            <a:ln>
              <a:noFill/>
            </a:ln>
            <a:effectLst/>
          </c:spPr>
          <c:invertIfNegative val="0"/>
          <c:cat>
            <c:multiLvlStrRef>
              <c:f>Sheet1!$E$73:$I$74</c:f>
              <c:multiLvlStrCache>
                <c:ptCount val="5"/>
                <c:lvl>
                  <c:pt idx="0">
                    <c:v>Amount</c:v>
                  </c:pt>
                  <c:pt idx="1">
                    <c:v>Amount</c:v>
                  </c:pt>
                  <c:pt idx="2">
                    <c:v>Amount</c:v>
                  </c:pt>
                  <c:pt idx="3">
                    <c:v>Amount</c:v>
                  </c:pt>
                  <c:pt idx="4">
                    <c:v>Amount</c:v>
                  </c:pt>
                </c:lvl>
                <c:lvl>
                  <c:pt idx="0">
                    <c:v>2019</c:v>
                  </c:pt>
                  <c:pt idx="1">
                    <c:v>2020</c:v>
                  </c:pt>
                  <c:pt idx="2">
                    <c:v>2021</c:v>
                  </c:pt>
                  <c:pt idx="3">
                    <c:v>2022</c:v>
                  </c:pt>
                  <c:pt idx="4">
                    <c:v>2023</c:v>
                  </c:pt>
                </c:lvl>
              </c:multiLvlStrCache>
            </c:multiLvlStrRef>
          </c:cat>
          <c:val>
            <c:numRef>
              <c:f>Sheet1!$E$80:$I$80</c:f>
              <c:numCache>
                <c:formatCode>General</c:formatCode>
                <c:ptCount val="5"/>
                <c:pt idx="0">
                  <c:v>2267255928</c:v>
                </c:pt>
                <c:pt idx="1">
                  <c:v>2390991771</c:v>
                </c:pt>
                <c:pt idx="2">
                  <c:v>2165276204</c:v>
                </c:pt>
                <c:pt idx="3">
                  <c:v>2060156874</c:v>
                </c:pt>
                <c:pt idx="4">
                  <c:v>1985460307</c:v>
                </c:pt>
              </c:numCache>
            </c:numRef>
          </c:val>
          <c:extLst>
            <c:ext xmlns:c16="http://schemas.microsoft.com/office/drawing/2014/chart" uri="{C3380CC4-5D6E-409C-BE32-E72D297353CC}">
              <c16:uniqueId val="{00000005-D9C9-429E-A175-C219C08CEF63}"/>
            </c:ext>
          </c:extLst>
        </c:ser>
        <c:ser>
          <c:idx val="6"/>
          <c:order val="6"/>
          <c:tx>
            <c:strRef>
              <c:f>Sheet1!$D$81</c:f>
              <c:strCache>
                <c:ptCount val="1"/>
                <c:pt idx="0">
                  <c:v>Barisal</c:v>
                </c:pt>
              </c:strCache>
            </c:strRef>
          </c:tx>
          <c:spPr>
            <a:solidFill>
              <a:schemeClr val="accent1">
                <a:lumMod val="60000"/>
              </a:schemeClr>
            </a:solidFill>
            <a:ln>
              <a:noFill/>
            </a:ln>
            <a:effectLst/>
          </c:spPr>
          <c:invertIfNegative val="0"/>
          <c:cat>
            <c:multiLvlStrRef>
              <c:f>Sheet1!$E$73:$I$74</c:f>
              <c:multiLvlStrCache>
                <c:ptCount val="5"/>
                <c:lvl>
                  <c:pt idx="0">
                    <c:v>Amount</c:v>
                  </c:pt>
                  <c:pt idx="1">
                    <c:v>Amount</c:v>
                  </c:pt>
                  <c:pt idx="2">
                    <c:v>Amount</c:v>
                  </c:pt>
                  <c:pt idx="3">
                    <c:v>Amount</c:v>
                  </c:pt>
                  <c:pt idx="4">
                    <c:v>Amount</c:v>
                  </c:pt>
                </c:lvl>
                <c:lvl>
                  <c:pt idx="0">
                    <c:v>2019</c:v>
                  </c:pt>
                  <c:pt idx="1">
                    <c:v>2020</c:v>
                  </c:pt>
                  <c:pt idx="2">
                    <c:v>2021</c:v>
                  </c:pt>
                  <c:pt idx="3">
                    <c:v>2022</c:v>
                  </c:pt>
                  <c:pt idx="4">
                    <c:v>2023</c:v>
                  </c:pt>
                </c:lvl>
              </c:multiLvlStrCache>
            </c:multiLvlStrRef>
          </c:cat>
          <c:val>
            <c:numRef>
              <c:f>Sheet1!$E$81:$I$81</c:f>
              <c:numCache>
                <c:formatCode>General</c:formatCode>
                <c:ptCount val="5"/>
                <c:pt idx="0">
                  <c:v>1403466160</c:v>
                </c:pt>
                <c:pt idx="1">
                  <c:v>1434312616</c:v>
                </c:pt>
                <c:pt idx="2">
                  <c:v>1346655415</c:v>
                </c:pt>
                <c:pt idx="3">
                  <c:v>1290198009</c:v>
                </c:pt>
                <c:pt idx="4">
                  <c:v>1500748571</c:v>
                </c:pt>
              </c:numCache>
            </c:numRef>
          </c:val>
          <c:extLst>
            <c:ext xmlns:c16="http://schemas.microsoft.com/office/drawing/2014/chart" uri="{C3380CC4-5D6E-409C-BE32-E72D297353CC}">
              <c16:uniqueId val="{00000006-D9C9-429E-A175-C219C08CEF63}"/>
            </c:ext>
          </c:extLst>
        </c:ser>
        <c:ser>
          <c:idx val="7"/>
          <c:order val="7"/>
          <c:tx>
            <c:strRef>
              <c:f>Sheet1!$D$82</c:f>
              <c:strCache>
                <c:ptCount val="1"/>
                <c:pt idx="0">
                  <c:v>Mymensingh</c:v>
                </c:pt>
              </c:strCache>
            </c:strRef>
          </c:tx>
          <c:spPr>
            <a:solidFill>
              <a:schemeClr val="accent2">
                <a:lumMod val="60000"/>
              </a:schemeClr>
            </a:solidFill>
            <a:ln>
              <a:noFill/>
            </a:ln>
            <a:effectLst/>
          </c:spPr>
          <c:invertIfNegative val="0"/>
          <c:cat>
            <c:multiLvlStrRef>
              <c:f>Sheet1!$E$73:$I$74</c:f>
              <c:multiLvlStrCache>
                <c:ptCount val="5"/>
                <c:lvl>
                  <c:pt idx="0">
                    <c:v>Amount</c:v>
                  </c:pt>
                  <c:pt idx="1">
                    <c:v>Amount</c:v>
                  </c:pt>
                  <c:pt idx="2">
                    <c:v>Amount</c:v>
                  </c:pt>
                  <c:pt idx="3">
                    <c:v>Amount</c:v>
                  </c:pt>
                  <c:pt idx="4">
                    <c:v>Amount</c:v>
                  </c:pt>
                </c:lvl>
                <c:lvl>
                  <c:pt idx="0">
                    <c:v>2019</c:v>
                  </c:pt>
                  <c:pt idx="1">
                    <c:v>2020</c:v>
                  </c:pt>
                  <c:pt idx="2">
                    <c:v>2021</c:v>
                  </c:pt>
                  <c:pt idx="3">
                    <c:v>2022</c:v>
                  </c:pt>
                  <c:pt idx="4">
                    <c:v>2023</c:v>
                  </c:pt>
                </c:lvl>
              </c:multiLvlStrCache>
            </c:multiLvlStrRef>
          </c:cat>
          <c:val>
            <c:numRef>
              <c:f>Sheet1!$E$82:$I$82</c:f>
              <c:numCache>
                <c:formatCode>General</c:formatCode>
                <c:ptCount val="5"/>
                <c:pt idx="0">
                  <c:v>2098141116</c:v>
                </c:pt>
                <c:pt idx="1">
                  <c:v>1878443339</c:v>
                </c:pt>
                <c:pt idx="2">
                  <c:v>1368092627</c:v>
                </c:pt>
                <c:pt idx="3">
                  <c:v>1957184661</c:v>
                </c:pt>
                <c:pt idx="4">
                  <c:v>2337909789</c:v>
                </c:pt>
              </c:numCache>
            </c:numRef>
          </c:val>
          <c:extLst>
            <c:ext xmlns:c16="http://schemas.microsoft.com/office/drawing/2014/chart" uri="{C3380CC4-5D6E-409C-BE32-E72D297353CC}">
              <c16:uniqueId val="{00000007-D9C9-429E-A175-C219C08CEF63}"/>
            </c:ext>
          </c:extLst>
        </c:ser>
        <c:dLbls>
          <c:showLegendKey val="0"/>
          <c:showVal val="0"/>
          <c:showCatName val="0"/>
          <c:showSerName val="0"/>
          <c:showPercent val="0"/>
          <c:showBubbleSize val="0"/>
        </c:dLbls>
        <c:gapWidth val="219"/>
        <c:overlap val="-27"/>
        <c:axId val="1088413952"/>
        <c:axId val="1088415040"/>
      </c:barChart>
      <c:catAx>
        <c:axId val="108841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88415040"/>
        <c:crosses val="autoZero"/>
        <c:auto val="1"/>
        <c:lblAlgn val="ctr"/>
        <c:lblOffset val="100"/>
        <c:noMultiLvlLbl val="0"/>
      </c:catAx>
      <c:valAx>
        <c:axId val="108841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8841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fb02a91f-ced4-4398-8269-32dbfed4b56b}"/>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[mdjfvnf.xlsx]Sheet9!PivotTable4</c:name>
    <c:fmtId val="-1"/>
  </c:pivotSource>
  <c:chart>
    <c:autoTitleDeleted val="1"/>
    <c:plotArea>
      <c:layout>
        <c:manualLayout>
          <c:layoutTarget val="inner"/>
          <c:xMode val="edge"/>
          <c:yMode val="edge"/>
          <c:x val="9.1130966413629499E-2"/>
          <c:y val="6.0778727445394101E-2"/>
          <c:w val="0.89290096971411503"/>
          <c:h val="0.71365771586243998"/>
        </c:manualLayout>
      </c:layout>
      <c:barChart>
        <c:barDir val="col"/>
        <c:grouping val="clustered"/>
        <c:varyColors val="0"/>
        <c:ser>
          <c:idx val="0"/>
          <c:order val="0"/>
          <c:tx>
            <c:strRef>
              <c:f>Sheet9!$B$1</c:f>
              <c:strCache>
                <c:ptCount val="1"/>
                <c:pt idx="0">
                  <c:v>Sum of 2019</c:v>
                </c:pt>
              </c:strCache>
            </c:strRef>
          </c:tx>
          <c:spPr>
            <a:solidFill>
              <a:schemeClr val="accent1"/>
            </a:solidFill>
            <a:ln>
              <a:noFill/>
            </a:ln>
            <a:effectLst/>
          </c:spPr>
          <c:invertIfNegative val="0"/>
          <c:cat>
            <c:strRef>
              <c:f>Sheet9!$A$2:$A$12</c:f>
              <c:strCache>
                <c:ptCount val="10"/>
                <c:pt idx="0">
                  <c:v>Bai-Muazzal</c:v>
                </c:pt>
                <c:pt idx="1">
                  <c:v>Bai-Murabaha</c:v>
                </c:pt>
                <c:pt idx="2">
                  <c:v>Bai-Salam</c:v>
                </c:pt>
                <c:pt idx="3">
                  <c:v>HPSM</c:v>
                </c:pt>
                <c:pt idx="4">
                  <c:v>Ijara</c:v>
                </c:pt>
                <c:pt idx="5">
                  <c:v>Mudaraba</c:v>
                </c:pt>
                <c:pt idx="6">
                  <c:v>Musharaka</c:v>
                </c:pt>
                <c:pt idx="7">
                  <c:v>Others</c:v>
                </c:pt>
                <c:pt idx="8">
                  <c:v>Quard</c:v>
                </c:pt>
                <c:pt idx="9">
                  <c:v>Visa card</c:v>
                </c:pt>
              </c:strCache>
            </c:strRef>
          </c:cat>
          <c:val>
            <c:numRef>
              <c:f>Sheet9!$B$2:$B$12</c:f>
              <c:numCache>
                <c:formatCode>General</c:formatCode>
                <c:ptCount val="10"/>
                <c:pt idx="0">
                  <c:v>18263.669999999998</c:v>
                </c:pt>
                <c:pt idx="1">
                  <c:v>206.04</c:v>
                </c:pt>
                <c:pt idx="2">
                  <c:v>83.03</c:v>
                </c:pt>
                <c:pt idx="3">
                  <c:v>6379.69</c:v>
                </c:pt>
                <c:pt idx="4">
                  <c:v>79.42</c:v>
                </c:pt>
                <c:pt idx="5">
                  <c:v>23.88</c:v>
                </c:pt>
                <c:pt idx="6">
                  <c:v>32.44</c:v>
                </c:pt>
                <c:pt idx="7">
                  <c:v>1982.61</c:v>
                </c:pt>
                <c:pt idx="8">
                  <c:v>532.99</c:v>
                </c:pt>
                <c:pt idx="9">
                  <c:v>213.65</c:v>
                </c:pt>
              </c:numCache>
            </c:numRef>
          </c:val>
          <c:extLst>
            <c:ext xmlns:c16="http://schemas.microsoft.com/office/drawing/2014/chart" uri="{C3380CC4-5D6E-409C-BE32-E72D297353CC}">
              <c16:uniqueId val="{00000000-4713-440E-A43D-11E699BB90B5}"/>
            </c:ext>
          </c:extLst>
        </c:ser>
        <c:ser>
          <c:idx val="1"/>
          <c:order val="1"/>
          <c:tx>
            <c:strRef>
              <c:f>Sheet9!$C$1</c:f>
              <c:strCache>
                <c:ptCount val="1"/>
                <c:pt idx="0">
                  <c:v>Sum of 2020</c:v>
                </c:pt>
              </c:strCache>
            </c:strRef>
          </c:tx>
          <c:spPr>
            <a:solidFill>
              <a:schemeClr val="accent2"/>
            </a:solidFill>
            <a:ln>
              <a:noFill/>
            </a:ln>
            <a:effectLst/>
          </c:spPr>
          <c:invertIfNegative val="0"/>
          <c:cat>
            <c:strRef>
              <c:f>Sheet9!$A$2:$A$12</c:f>
              <c:strCache>
                <c:ptCount val="10"/>
                <c:pt idx="0">
                  <c:v>Bai-Muazzal</c:v>
                </c:pt>
                <c:pt idx="1">
                  <c:v>Bai-Murabaha</c:v>
                </c:pt>
                <c:pt idx="2">
                  <c:v>Bai-Salam</c:v>
                </c:pt>
                <c:pt idx="3">
                  <c:v>HPSM</c:v>
                </c:pt>
                <c:pt idx="4">
                  <c:v>Ijara</c:v>
                </c:pt>
                <c:pt idx="5">
                  <c:v>Mudaraba</c:v>
                </c:pt>
                <c:pt idx="6">
                  <c:v>Musharaka</c:v>
                </c:pt>
                <c:pt idx="7">
                  <c:v>Others</c:v>
                </c:pt>
                <c:pt idx="8">
                  <c:v>Quard</c:v>
                </c:pt>
                <c:pt idx="9">
                  <c:v>Visa card</c:v>
                </c:pt>
              </c:strCache>
            </c:strRef>
          </c:cat>
          <c:val>
            <c:numRef>
              <c:f>Sheet9!$C$2:$C$12</c:f>
              <c:numCache>
                <c:formatCode>General</c:formatCode>
                <c:ptCount val="10"/>
                <c:pt idx="0">
                  <c:v>18174.060000000001</c:v>
                </c:pt>
                <c:pt idx="1">
                  <c:v>120.78</c:v>
                </c:pt>
                <c:pt idx="2">
                  <c:v>86.42</c:v>
                </c:pt>
                <c:pt idx="3">
                  <c:v>5563.99</c:v>
                </c:pt>
                <c:pt idx="4">
                  <c:v>62.37</c:v>
                </c:pt>
                <c:pt idx="5">
                  <c:v>76.16</c:v>
                </c:pt>
                <c:pt idx="6">
                  <c:v>21.53</c:v>
                </c:pt>
                <c:pt idx="7">
                  <c:v>27021.8</c:v>
                </c:pt>
                <c:pt idx="8">
                  <c:v>614.41999999999996</c:v>
                </c:pt>
                <c:pt idx="9">
                  <c:v>208.44</c:v>
                </c:pt>
              </c:numCache>
            </c:numRef>
          </c:val>
          <c:extLst>
            <c:ext xmlns:c16="http://schemas.microsoft.com/office/drawing/2014/chart" uri="{C3380CC4-5D6E-409C-BE32-E72D297353CC}">
              <c16:uniqueId val="{00000001-4713-440E-A43D-11E699BB90B5}"/>
            </c:ext>
          </c:extLst>
        </c:ser>
        <c:ser>
          <c:idx val="2"/>
          <c:order val="2"/>
          <c:tx>
            <c:strRef>
              <c:f>Sheet9!$D$1</c:f>
              <c:strCache>
                <c:ptCount val="1"/>
                <c:pt idx="0">
                  <c:v>Sum of 2021</c:v>
                </c:pt>
              </c:strCache>
            </c:strRef>
          </c:tx>
          <c:spPr>
            <a:solidFill>
              <a:schemeClr val="accent3"/>
            </a:solidFill>
            <a:ln>
              <a:noFill/>
            </a:ln>
            <a:effectLst/>
          </c:spPr>
          <c:invertIfNegative val="0"/>
          <c:cat>
            <c:strRef>
              <c:f>Sheet9!$A$2:$A$12</c:f>
              <c:strCache>
                <c:ptCount val="10"/>
                <c:pt idx="0">
                  <c:v>Bai-Muazzal</c:v>
                </c:pt>
                <c:pt idx="1">
                  <c:v>Bai-Murabaha</c:v>
                </c:pt>
                <c:pt idx="2">
                  <c:v>Bai-Salam</c:v>
                </c:pt>
                <c:pt idx="3">
                  <c:v>HPSM</c:v>
                </c:pt>
                <c:pt idx="4">
                  <c:v>Ijara</c:v>
                </c:pt>
                <c:pt idx="5">
                  <c:v>Mudaraba</c:v>
                </c:pt>
                <c:pt idx="6">
                  <c:v>Musharaka</c:v>
                </c:pt>
                <c:pt idx="7">
                  <c:v>Others</c:v>
                </c:pt>
                <c:pt idx="8">
                  <c:v>Quard</c:v>
                </c:pt>
                <c:pt idx="9">
                  <c:v>Visa card</c:v>
                </c:pt>
              </c:strCache>
            </c:strRef>
          </c:cat>
          <c:val>
            <c:numRef>
              <c:f>Sheet9!$D$2:$D$12</c:f>
              <c:numCache>
                <c:formatCode>General</c:formatCode>
                <c:ptCount val="10"/>
                <c:pt idx="0">
                  <c:v>16707.150000000001</c:v>
                </c:pt>
                <c:pt idx="1">
                  <c:v>108.15</c:v>
                </c:pt>
                <c:pt idx="2">
                  <c:v>60.41</c:v>
                </c:pt>
                <c:pt idx="3">
                  <c:v>4410.78</c:v>
                </c:pt>
                <c:pt idx="4">
                  <c:v>43.89</c:v>
                </c:pt>
                <c:pt idx="5">
                  <c:v>40.43</c:v>
                </c:pt>
                <c:pt idx="6">
                  <c:v>16.059999999999999</c:v>
                </c:pt>
                <c:pt idx="7">
                  <c:v>1692.3420000000001</c:v>
                </c:pt>
                <c:pt idx="8">
                  <c:v>675.80799999999999</c:v>
                </c:pt>
                <c:pt idx="9">
                  <c:v>205.76</c:v>
                </c:pt>
              </c:numCache>
            </c:numRef>
          </c:val>
          <c:extLst>
            <c:ext xmlns:c16="http://schemas.microsoft.com/office/drawing/2014/chart" uri="{C3380CC4-5D6E-409C-BE32-E72D297353CC}">
              <c16:uniqueId val="{00000002-4713-440E-A43D-11E699BB90B5}"/>
            </c:ext>
          </c:extLst>
        </c:ser>
        <c:ser>
          <c:idx val="3"/>
          <c:order val="3"/>
          <c:tx>
            <c:strRef>
              <c:f>Sheet9!$E$1</c:f>
              <c:strCache>
                <c:ptCount val="1"/>
                <c:pt idx="0">
                  <c:v>Sum of 2022</c:v>
                </c:pt>
              </c:strCache>
            </c:strRef>
          </c:tx>
          <c:spPr>
            <a:solidFill>
              <a:schemeClr val="accent4"/>
            </a:solidFill>
            <a:ln>
              <a:noFill/>
            </a:ln>
            <a:effectLst/>
          </c:spPr>
          <c:invertIfNegative val="0"/>
          <c:cat>
            <c:strRef>
              <c:f>Sheet9!$A$2:$A$12</c:f>
              <c:strCache>
                <c:ptCount val="10"/>
                <c:pt idx="0">
                  <c:v>Bai-Muazzal</c:v>
                </c:pt>
                <c:pt idx="1">
                  <c:v>Bai-Murabaha</c:v>
                </c:pt>
                <c:pt idx="2">
                  <c:v>Bai-Salam</c:v>
                </c:pt>
                <c:pt idx="3">
                  <c:v>HPSM</c:v>
                </c:pt>
                <c:pt idx="4">
                  <c:v>Ijara</c:v>
                </c:pt>
                <c:pt idx="5">
                  <c:v>Mudaraba</c:v>
                </c:pt>
                <c:pt idx="6">
                  <c:v>Musharaka</c:v>
                </c:pt>
                <c:pt idx="7">
                  <c:v>Others</c:v>
                </c:pt>
                <c:pt idx="8">
                  <c:v>Quard</c:v>
                </c:pt>
                <c:pt idx="9">
                  <c:v>Visa card</c:v>
                </c:pt>
              </c:strCache>
            </c:strRef>
          </c:cat>
          <c:val>
            <c:numRef>
              <c:f>Sheet9!$E$2:$E$12</c:f>
              <c:numCache>
                <c:formatCode>General</c:formatCode>
                <c:ptCount val="10"/>
                <c:pt idx="0">
                  <c:v>13744.97</c:v>
                </c:pt>
                <c:pt idx="1">
                  <c:v>226.3</c:v>
                </c:pt>
                <c:pt idx="2">
                  <c:v>71.62</c:v>
                </c:pt>
                <c:pt idx="3">
                  <c:v>4082.74</c:v>
                </c:pt>
                <c:pt idx="4">
                  <c:v>29.91</c:v>
                </c:pt>
                <c:pt idx="5">
                  <c:v>260.75</c:v>
                </c:pt>
                <c:pt idx="6">
                  <c:v>14.46</c:v>
                </c:pt>
                <c:pt idx="7">
                  <c:v>2194.67</c:v>
                </c:pt>
                <c:pt idx="8">
                  <c:v>747.57</c:v>
                </c:pt>
                <c:pt idx="9">
                  <c:v>270.8</c:v>
                </c:pt>
              </c:numCache>
            </c:numRef>
          </c:val>
          <c:extLst>
            <c:ext xmlns:c16="http://schemas.microsoft.com/office/drawing/2014/chart" uri="{C3380CC4-5D6E-409C-BE32-E72D297353CC}">
              <c16:uniqueId val="{00000003-4713-440E-A43D-11E699BB90B5}"/>
            </c:ext>
          </c:extLst>
        </c:ser>
        <c:ser>
          <c:idx val="4"/>
          <c:order val="4"/>
          <c:tx>
            <c:strRef>
              <c:f>Sheet9!$F$1</c:f>
              <c:strCache>
                <c:ptCount val="1"/>
                <c:pt idx="0">
                  <c:v>Sum of 2023</c:v>
                </c:pt>
              </c:strCache>
            </c:strRef>
          </c:tx>
          <c:spPr>
            <a:solidFill>
              <a:schemeClr val="accent5"/>
            </a:solidFill>
            <a:ln>
              <a:noFill/>
            </a:ln>
            <a:effectLst/>
          </c:spPr>
          <c:invertIfNegative val="0"/>
          <c:cat>
            <c:strRef>
              <c:f>Sheet9!$A$2:$A$12</c:f>
              <c:strCache>
                <c:ptCount val="10"/>
                <c:pt idx="0">
                  <c:v>Bai-Muazzal</c:v>
                </c:pt>
                <c:pt idx="1">
                  <c:v>Bai-Murabaha</c:v>
                </c:pt>
                <c:pt idx="2">
                  <c:v>Bai-Salam</c:v>
                </c:pt>
                <c:pt idx="3">
                  <c:v>HPSM</c:v>
                </c:pt>
                <c:pt idx="4">
                  <c:v>Ijara</c:v>
                </c:pt>
                <c:pt idx="5">
                  <c:v>Mudaraba</c:v>
                </c:pt>
                <c:pt idx="6">
                  <c:v>Musharaka</c:v>
                </c:pt>
                <c:pt idx="7">
                  <c:v>Others</c:v>
                </c:pt>
                <c:pt idx="8">
                  <c:v>Quard</c:v>
                </c:pt>
                <c:pt idx="9">
                  <c:v>Visa card</c:v>
                </c:pt>
              </c:strCache>
            </c:strRef>
          </c:cat>
          <c:val>
            <c:numRef>
              <c:f>Sheet9!$F$2:$F$12</c:f>
              <c:numCache>
                <c:formatCode>General</c:formatCode>
                <c:ptCount val="10"/>
                <c:pt idx="0">
                  <c:v>16406.37</c:v>
                </c:pt>
                <c:pt idx="1">
                  <c:v>260.02</c:v>
                </c:pt>
                <c:pt idx="2">
                  <c:v>105.21</c:v>
                </c:pt>
                <c:pt idx="3">
                  <c:v>4646.76</c:v>
                </c:pt>
                <c:pt idx="4">
                  <c:v>33.15</c:v>
                </c:pt>
                <c:pt idx="5">
                  <c:v>213.08</c:v>
                </c:pt>
                <c:pt idx="6">
                  <c:v>0.97929999999999995</c:v>
                </c:pt>
                <c:pt idx="7">
                  <c:v>2343.1106999999902</c:v>
                </c:pt>
                <c:pt idx="8">
                  <c:v>792.95</c:v>
                </c:pt>
                <c:pt idx="9">
                  <c:v>442.38</c:v>
                </c:pt>
              </c:numCache>
            </c:numRef>
          </c:val>
          <c:extLst>
            <c:ext xmlns:c16="http://schemas.microsoft.com/office/drawing/2014/chart" uri="{C3380CC4-5D6E-409C-BE32-E72D297353CC}">
              <c16:uniqueId val="{00000004-4713-440E-A43D-11E699BB90B5}"/>
            </c:ext>
          </c:extLst>
        </c:ser>
        <c:dLbls>
          <c:showLegendKey val="0"/>
          <c:showVal val="0"/>
          <c:showCatName val="0"/>
          <c:showSerName val="0"/>
          <c:showPercent val="0"/>
          <c:showBubbleSize val="0"/>
        </c:dLbls>
        <c:gapWidth val="219"/>
        <c:overlap val="-27"/>
        <c:axId val="1084067312"/>
        <c:axId val="1084070032"/>
      </c:barChart>
      <c:catAx>
        <c:axId val="108406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84070032"/>
        <c:crosses val="autoZero"/>
        <c:auto val="1"/>
        <c:lblAlgn val="ctr"/>
        <c:lblOffset val="100"/>
        <c:noMultiLvlLbl val="0"/>
      </c:catAx>
      <c:valAx>
        <c:axId val="108407003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84067312"/>
        <c:crosses val="autoZero"/>
        <c:crossBetween val="between"/>
      </c:valAx>
      <c:spPr>
        <a:noFill/>
        <a:ln>
          <a:noFill/>
        </a:ln>
        <a:effectLst/>
      </c:spPr>
    </c:plotArea>
    <c:plotVisOnly val="1"/>
    <c:dispBlanksAs val="gap"/>
    <c:showDLblsOverMax val="0"/>
    <c:extLst>
      <c:ext uri="{0b15fc19-7d7d-44ad-8c2d-2c3a37ce22c3}">
        <chartProps xmlns="https://web.wps.cn/et/2018/main" chartId="{d9534146-d8b3-463e-8754-baa02a3438fe}"/>
      </c:ext>
    </c:extLst>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en-US"/>
    </a:p>
  </c:txPr>
  <c:externalData r:id="rId2">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[mdjfvnf-1(3).xlsx]Sheet13!PivotTable4</c:name>
    <c:fmtId val="-1"/>
  </c:pivotSource>
  <c:chart>
    <c:autoTitleDeleted val="1"/>
    <c:plotArea>
      <c:layout/>
      <c:barChart>
        <c:barDir val="col"/>
        <c:grouping val="clustered"/>
        <c:varyColors val="0"/>
        <c:ser>
          <c:idx val="0"/>
          <c:order val="0"/>
          <c:tx>
            <c:strRef>
              <c:f>Sheet13!$B$1:$B$2</c:f>
              <c:strCache>
                <c:ptCount val="1"/>
                <c:pt idx="0">
                  <c:v>Sum of 2019</c:v>
                </c:pt>
              </c:strCache>
            </c:strRef>
          </c:tx>
          <c:invertIfNegative val="0"/>
          <c:cat>
            <c:strRef>
              <c:f>Sheet13!$A$3:$A$6</c:f>
              <c:strCache>
                <c:ptCount val="3"/>
                <c:pt idx="0">
                  <c:v>BadorLossinvestment (BL)</c:v>
                </c:pt>
                <c:pt idx="1">
                  <c:v>Doubtful Investment(DF)</c:v>
                </c:pt>
                <c:pt idx="2">
                  <c:v>SubStandard Investment</c:v>
                </c:pt>
              </c:strCache>
            </c:strRef>
          </c:cat>
          <c:val>
            <c:numRef>
              <c:f>Sheet13!$B$3:$B$6</c:f>
              <c:numCache>
                <c:formatCode>General</c:formatCode>
                <c:ptCount val="3"/>
                <c:pt idx="0">
                  <c:v>16550.77</c:v>
                </c:pt>
                <c:pt idx="1">
                  <c:v>283.27999999999997</c:v>
                </c:pt>
                <c:pt idx="2">
                  <c:v>699.25</c:v>
                </c:pt>
              </c:numCache>
            </c:numRef>
          </c:val>
          <c:extLst>
            <c:ext xmlns:c16="http://schemas.microsoft.com/office/drawing/2014/chart" uri="{C3380CC4-5D6E-409C-BE32-E72D297353CC}">
              <c16:uniqueId val="{00000000-0A62-4398-97AC-A0CED401B53A}"/>
            </c:ext>
          </c:extLst>
        </c:ser>
        <c:ser>
          <c:idx val="1"/>
          <c:order val="1"/>
          <c:tx>
            <c:strRef>
              <c:f>Sheet13!$C$1:$C$2</c:f>
              <c:strCache>
                <c:ptCount val="1"/>
                <c:pt idx="0">
                  <c:v>Sum of 2020</c:v>
                </c:pt>
              </c:strCache>
            </c:strRef>
          </c:tx>
          <c:invertIfNegative val="0"/>
          <c:cat>
            <c:strRef>
              <c:f>Sheet13!$A$3:$A$6</c:f>
              <c:strCache>
                <c:ptCount val="3"/>
                <c:pt idx="0">
                  <c:v>BadorLossinvestment (BL)</c:v>
                </c:pt>
                <c:pt idx="1">
                  <c:v>Doubtful Investment(DF)</c:v>
                </c:pt>
                <c:pt idx="2">
                  <c:v>SubStandard Investment</c:v>
                </c:pt>
              </c:strCache>
            </c:strRef>
          </c:cat>
          <c:val>
            <c:numRef>
              <c:f>Sheet13!$C$3:$C$6</c:f>
              <c:numCache>
                <c:formatCode>General</c:formatCode>
                <c:ptCount val="3"/>
                <c:pt idx="0">
                  <c:v>15606.04</c:v>
                </c:pt>
                <c:pt idx="1">
                  <c:v>414.78</c:v>
                </c:pt>
                <c:pt idx="2">
                  <c:v>712.57</c:v>
                </c:pt>
              </c:numCache>
            </c:numRef>
          </c:val>
          <c:extLst>
            <c:ext xmlns:c16="http://schemas.microsoft.com/office/drawing/2014/chart" uri="{C3380CC4-5D6E-409C-BE32-E72D297353CC}">
              <c16:uniqueId val="{00000001-0A62-4398-97AC-A0CED401B53A}"/>
            </c:ext>
          </c:extLst>
        </c:ser>
        <c:ser>
          <c:idx val="2"/>
          <c:order val="2"/>
          <c:tx>
            <c:strRef>
              <c:f>Sheet13!$D$1:$D$2</c:f>
              <c:strCache>
                <c:ptCount val="1"/>
                <c:pt idx="0">
                  <c:v>Sum of 2021</c:v>
                </c:pt>
              </c:strCache>
            </c:strRef>
          </c:tx>
          <c:invertIfNegative val="0"/>
          <c:cat>
            <c:strRef>
              <c:f>Sheet13!$A$3:$A$6</c:f>
              <c:strCache>
                <c:ptCount val="3"/>
                <c:pt idx="0">
                  <c:v>BadorLossinvestment (BL)</c:v>
                </c:pt>
                <c:pt idx="1">
                  <c:v>Doubtful Investment(DF)</c:v>
                </c:pt>
                <c:pt idx="2">
                  <c:v>SubStandard Investment</c:v>
                </c:pt>
              </c:strCache>
            </c:strRef>
          </c:cat>
          <c:val>
            <c:numRef>
              <c:f>Sheet13!$D$3:$D$6</c:f>
              <c:numCache>
                <c:formatCode>General</c:formatCode>
                <c:ptCount val="3"/>
                <c:pt idx="0">
                  <c:v>15298.19</c:v>
                </c:pt>
                <c:pt idx="1">
                  <c:v>134.02000000000001</c:v>
                </c:pt>
                <c:pt idx="2">
                  <c:v>697.79</c:v>
                </c:pt>
              </c:numCache>
            </c:numRef>
          </c:val>
          <c:extLst>
            <c:ext xmlns:c16="http://schemas.microsoft.com/office/drawing/2014/chart" uri="{C3380CC4-5D6E-409C-BE32-E72D297353CC}">
              <c16:uniqueId val="{00000002-0A62-4398-97AC-A0CED401B53A}"/>
            </c:ext>
          </c:extLst>
        </c:ser>
        <c:ser>
          <c:idx val="3"/>
          <c:order val="3"/>
          <c:tx>
            <c:strRef>
              <c:f>Sheet13!$E$1:$E$2</c:f>
              <c:strCache>
                <c:ptCount val="1"/>
                <c:pt idx="0">
                  <c:v>Sum of 2022</c:v>
                </c:pt>
              </c:strCache>
            </c:strRef>
          </c:tx>
          <c:invertIfNegative val="0"/>
          <c:cat>
            <c:strRef>
              <c:f>Sheet13!$A$3:$A$6</c:f>
              <c:strCache>
                <c:ptCount val="3"/>
                <c:pt idx="0">
                  <c:v>BadorLossinvestment (BL)</c:v>
                </c:pt>
                <c:pt idx="1">
                  <c:v>Doubtful Investment(DF)</c:v>
                </c:pt>
                <c:pt idx="2">
                  <c:v>SubStandard Investment</c:v>
                </c:pt>
              </c:strCache>
            </c:strRef>
          </c:cat>
          <c:val>
            <c:numRef>
              <c:f>Sheet13!$E$3:$E$6</c:f>
              <c:numCache>
                <c:formatCode>General</c:formatCode>
                <c:ptCount val="3"/>
                <c:pt idx="0">
                  <c:v>15124.42</c:v>
                </c:pt>
                <c:pt idx="1">
                  <c:v>393.26</c:v>
                </c:pt>
                <c:pt idx="2">
                  <c:v>873.5</c:v>
                </c:pt>
              </c:numCache>
            </c:numRef>
          </c:val>
          <c:extLst>
            <c:ext xmlns:c16="http://schemas.microsoft.com/office/drawing/2014/chart" uri="{C3380CC4-5D6E-409C-BE32-E72D297353CC}">
              <c16:uniqueId val="{00000003-0A62-4398-97AC-A0CED401B53A}"/>
            </c:ext>
          </c:extLst>
        </c:ser>
        <c:ser>
          <c:idx val="4"/>
          <c:order val="4"/>
          <c:tx>
            <c:strRef>
              <c:f>Sheet13!$F$1:$F$2</c:f>
              <c:strCache>
                <c:ptCount val="1"/>
                <c:pt idx="0">
                  <c:v>Sum of 2023</c:v>
                </c:pt>
              </c:strCache>
            </c:strRef>
          </c:tx>
          <c:invertIfNegative val="0"/>
          <c:cat>
            <c:strRef>
              <c:f>Sheet13!$A$3:$A$6</c:f>
              <c:strCache>
                <c:ptCount val="3"/>
                <c:pt idx="0">
                  <c:v>BadorLossinvestment (BL)</c:v>
                </c:pt>
                <c:pt idx="1">
                  <c:v>Doubtful Investment(DF)</c:v>
                </c:pt>
                <c:pt idx="2">
                  <c:v>SubStandard Investment</c:v>
                </c:pt>
              </c:strCache>
            </c:strRef>
          </c:cat>
          <c:val>
            <c:numRef>
              <c:f>Sheet13!$F$3:$F$6</c:f>
              <c:numCache>
                <c:formatCode>General</c:formatCode>
                <c:ptCount val="3"/>
                <c:pt idx="0">
                  <c:v>16003.47</c:v>
                </c:pt>
                <c:pt idx="1">
                  <c:v>333.84</c:v>
                </c:pt>
                <c:pt idx="2">
                  <c:v>826.41</c:v>
                </c:pt>
              </c:numCache>
            </c:numRef>
          </c:val>
          <c:extLst>
            <c:ext xmlns:c16="http://schemas.microsoft.com/office/drawing/2014/chart" uri="{C3380CC4-5D6E-409C-BE32-E72D297353CC}">
              <c16:uniqueId val="{00000004-0A62-4398-97AC-A0CED401B53A}"/>
            </c:ext>
          </c:extLst>
        </c:ser>
        <c:dLbls>
          <c:showLegendKey val="0"/>
          <c:showVal val="0"/>
          <c:showCatName val="0"/>
          <c:showSerName val="0"/>
          <c:showPercent val="0"/>
          <c:showBubbleSize val="0"/>
        </c:dLbls>
        <c:gapWidth val="150"/>
        <c:axId val="1087622656"/>
        <c:axId val="1087628096"/>
      </c:barChart>
      <c:catAx>
        <c:axId val="1087622656"/>
        <c:scaling>
          <c:orientation val="minMax"/>
        </c:scaling>
        <c:delete val="0"/>
        <c:axPos val="b"/>
        <c:numFmt formatCode="General" sourceLinked="0"/>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1087628096"/>
        <c:crosses val="autoZero"/>
        <c:auto val="1"/>
        <c:lblAlgn val="ctr"/>
        <c:lblOffset val="100"/>
        <c:noMultiLvlLbl val="0"/>
      </c:catAx>
      <c:valAx>
        <c:axId val="1087628096"/>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1087622656"/>
        <c:crosses val="autoZero"/>
        <c:crossBetween val="between"/>
      </c:valAx>
    </c:plotArea>
    <c:legend>
      <c:legendPos val="r"/>
      <c:overlay val="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legend>
    <c:plotVisOnly val="1"/>
    <c:dispBlanksAs val="gap"/>
    <c:showDLblsOverMax val="0"/>
    <c:extLst>
      <c:ext uri="{0b15fc19-7d7d-44ad-8c2d-2c3a37ce22c3}">
        <chartProps xmlns="https://web.wps.cn/et/2018/main" chartId="{79b2cf34-4d73-4637-8588-9a54f9d9540d}"/>
      </c:ext>
    </c:extLst>
  </c:chart>
  <c:txPr>
    <a:bodyPr/>
    <a:lstStyle/>
    <a:p>
      <a:pPr>
        <a:defRPr lang="en-US"/>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74489-F89E-4D41-9EB1-F70CF96C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4133</Words>
  <Characters>23562</Characters>
  <Application>Microsoft Office Word</Application>
  <DocSecurity>0</DocSecurity>
  <Lines>196</Lines>
  <Paragraphs>55</Paragraphs>
  <ScaleCrop>false</ScaleCrop>
  <Company/>
  <LinksUpToDate>false</LinksUpToDate>
  <CharactersWithSpaces>27640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murad</dc:creator>
  <cp:lastModifiedBy>Mst. Urmi</cp:lastModifiedBy>
  <cp:revision>2</cp:revision>
  <dcterms:created xsi:type="dcterms:W3CDTF">2024-12-14T15:15:00Z</dcterms:created>
  <dcterms:modified xsi:type="dcterms:W3CDTF">2024-12-14T15:15:00Z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9DEBE3E732C24CE9A00A526196C5BBE5_13</vt:lpwstr>
  </property>
</Properties>
</file>