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1996383667" w:lineRule="auto"/>
        <w:ind w:left="0" w:right="112.97119140625" w:firstLine="307.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Cambio estructurales en la tendencia, media y volatilidad *PolÌticas: p˙blicas, monetarias, Öscales, comercial tienen como objetivo generar cambios estructurales en la tendencia, velocidad de crecimiento, la media y la volatilidad de las series de tiempo.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283203125" w:line="240" w:lineRule="auto"/>
        <w:ind w:left="302.068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Por ejemplo: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251953125" w:line="239.891996383667" w:lineRule="auto"/>
        <w:ind w:left="2.78961181640625" w:right="112.982177734375" w:firstLine="29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La politica monetaria cambio en 2001 y el objetivo es ináaciÛn baja En 1995 se Örmo el TLC entonces deber· tener un cambio en el tipo (peso dÛlar) de cambio, en las exportaciones e importaciones y en las variables pro ducciÛn.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283203125" w:line="239.891996383667" w:lineRule="auto"/>
        <w:ind w:left="1.3946533203125" w:right="0" w:firstLine="300.274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La recesiÛn Önanciera del 2008-2009 dejarÌa cambios en las variables econÛmico Önancieras: crÈditos, Ìndices de precios y cotizaciones.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236328125" w:line="239.89169597625732" w:lineRule="auto"/>
        <w:ind w:left="7.3724365234375" w:right="112.98095703125" w:firstLine="294.29718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La recesiÛn sanitaria del covid-19 tambiÈn dejar· cambios estructurales. Ejemplo de tendencia en el Ìndice trimestral de actividad econÛmica en Baja California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6.9512939453125" w:line="240" w:lineRule="auto"/>
        <w:ind w:left="302.8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Pr·ctica 5: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2.068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Repetir el ejercicio de Baja California con Jalisco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8.023681640625" w:line="240" w:lineRule="auto"/>
        <w:ind w:left="3401.26800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</w:t>
      </w:r>
    </w:p>
    <w:sectPr>
      <w:pgSz w:h="15840" w:w="12240"/>
      <w:pgMar w:bottom="1787.3001098632812" w:top="2496.038818359375" w:left="2679.1458129882812" w:right="2577.3962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