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Основные итоги ежегодного функционирования экономики выражаются в текущих или номинальных ценах. Их частое изменение, не позволяет использовать номинальный ВВП для сравнения валовых внутренних продуктов (ВВП) разных государств или одной страны на протяжении нескольких лет. Тогда берутся показатели, отражающие действительные производственные объемы и фактическую прибыль. Выражаются они в постоянных величинах.</w:t>
      </w:r>
    </w:p>
    <w:p w:rsidR="0019422C" w:rsidRPr="0019422C" w:rsidRDefault="0019422C" w:rsidP="0019422C">
      <w:pPr>
        <w:shd w:val="clear" w:color="auto" w:fill="FFFFFF"/>
        <w:spacing w:after="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b/>
          <w:bCs/>
          <w:color w:val="333E50"/>
          <w:sz w:val="27"/>
          <w:szCs w:val="27"/>
          <w:bdr w:val="none" w:sz="0" w:space="0" w:color="auto" w:frame="1"/>
          <w:lang w:eastAsia="ru-RU"/>
        </w:rPr>
        <w:t>Номинальный ВВП</w:t>
      </w:r>
      <w:r w:rsidRPr="0019422C">
        <w:rPr>
          <w:rFonts w:ascii="Arial" w:eastAsia="Times New Roman" w:hAnsi="Arial" w:cs="Arial"/>
          <w:color w:val="333E50"/>
          <w:sz w:val="27"/>
          <w:szCs w:val="27"/>
          <w:lang w:eastAsia="ru-RU"/>
        </w:rPr>
        <w:t> – представлен суммой стоимости всего произведенного. В процессе его подсчета учитываются нынешние цены. Данный показатель прямо пропорционален количеству выпущенной продукции, и сложившимся ценам. Поскольку номинальный ВВП повышается с увеличением стоимости, по нему делать выводы о состоянии экономики нельзя, поскольку его показатель будет расти вслед за уровнем инфляции.</w:t>
      </w:r>
    </w:p>
    <w:p w:rsidR="0019422C" w:rsidRDefault="0019422C" w:rsidP="0019422C">
      <w:pPr>
        <w:shd w:val="clear" w:color="auto" w:fill="FFFFFF"/>
        <w:spacing w:after="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b/>
          <w:bCs/>
          <w:color w:val="333E50"/>
          <w:sz w:val="27"/>
          <w:szCs w:val="27"/>
          <w:bdr w:val="none" w:sz="0" w:space="0" w:color="auto" w:frame="1"/>
          <w:lang w:eastAsia="ru-RU"/>
        </w:rPr>
        <w:t>Реальный ВВП</w:t>
      </w:r>
      <w:r w:rsidRPr="0019422C">
        <w:rPr>
          <w:rFonts w:ascii="Arial" w:eastAsia="Times New Roman" w:hAnsi="Arial" w:cs="Arial"/>
          <w:color w:val="333E50"/>
          <w:sz w:val="27"/>
          <w:szCs w:val="27"/>
          <w:lang w:eastAsia="ru-RU"/>
        </w:rPr>
        <w:t xml:space="preserve">, по сравнению с номинальным, несет информацию о том, сколько стоят товары на самом деле. Он дает основание сравнивать экономическое состояние стран и анализировать изменения ВВП в </w:t>
      </w:r>
      <w:proofErr w:type="spellStart"/>
      <w:proofErr w:type="gramStart"/>
      <w:r w:rsidRPr="0019422C">
        <w:rPr>
          <w:rFonts w:ascii="Arial" w:eastAsia="Times New Roman" w:hAnsi="Arial" w:cs="Arial"/>
          <w:color w:val="333E50"/>
          <w:sz w:val="27"/>
          <w:szCs w:val="27"/>
          <w:lang w:eastAsia="ru-RU"/>
        </w:rPr>
        <w:t>одной.Высчитывается</w:t>
      </w:r>
      <w:proofErr w:type="spellEnd"/>
      <w:proofErr w:type="gramEnd"/>
      <w:r w:rsidRPr="0019422C">
        <w:rPr>
          <w:rFonts w:ascii="Arial" w:eastAsia="Times New Roman" w:hAnsi="Arial" w:cs="Arial"/>
          <w:color w:val="333E50"/>
          <w:sz w:val="27"/>
          <w:szCs w:val="27"/>
          <w:lang w:eastAsia="ru-RU"/>
        </w:rPr>
        <w:t xml:space="preserve"> значение показателя, основываясь на стоимости продукции, действовавшей в базовом периоде. Иначе, это номинальный ВВП «избавленный» от повышений/понижений стоимости продуктов. В качестве базисного можно выбрать произвольный год. Текущим по отношению к нему, будет считаться любой предшествующий или последующий, для которого ведутся расчёты.</w:t>
      </w:r>
    </w:p>
    <w:p w:rsidR="0019422C" w:rsidRPr="0019422C" w:rsidRDefault="0019422C" w:rsidP="0019422C">
      <w:pPr>
        <w:shd w:val="clear" w:color="auto" w:fill="FFFFFF"/>
        <w:spacing w:after="0" w:line="240" w:lineRule="auto"/>
        <w:ind w:left="750" w:right="750"/>
        <w:textAlignment w:val="baseline"/>
        <w:rPr>
          <w:rFonts w:ascii="Arial" w:eastAsia="Times New Roman" w:hAnsi="Arial" w:cs="Arial"/>
          <w:color w:val="333E50"/>
          <w:sz w:val="27"/>
          <w:szCs w:val="27"/>
          <w:lang w:eastAsia="ru-RU"/>
        </w:rPr>
      </w:pPr>
    </w:p>
    <w:p w:rsidR="0019422C" w:rsidRPr="0019422C" w:rsidRDefault="0019422C" w:rsidP="0019422C">
      <w:pPr>
        <w:shd w:val="clear" w:color="auto" w:fill="FFFFFF"/>
        <w:spacing w:after="300" w:line="240" w:lineRule="auto"/>
        <w:ind w:left="750" w:right="750"/>
        <w:textAlignment w:val="baseline"/>
        <w:outlineLvl w:val="1"/>
        <w:rPr>
          <w:rFonts w:ascii="Arial" w:eastAsia="Times New Roman" w:hAnsi="Arial" w:cs="Arial"/>
          <w:b/>
          <w:bCs/>
          <w:color w:val="333E50"/>
          <w:sz w:val="36"/>
          <w:szCs w:val="36"/>
          <w:lang w:eastAsia="ru-RU"/>
        </w:rPr>
      </w:pPr>
      <w:r w:rsidRPr="0019422C">
        <w:rPr>
          <w:rFonts w:ascii="Arial" w:eastAsia="Times New Roman" w:hAnsi="Arial" w:cs="Arial"/>
          <w:b/>
          <w:bCs/>
          <w:color w:val="333E50"/>
          <w:sz w:val="36"/>
          <w:szCs w:val="36"/>
          <w:lang w:eastAsia="ru-RU"/>
        </w:rPr>
        <w:t>Как ра</w:t>
      </w:r>
      <w:r>
        <w:rPr>
          <w:rFonts w:ascii="Arial" w:eastAsia="Times New Roman" w:hAnsi="Arial" w:cs="Arial"/>
          <w:b/>
          <w:bCs/>
          <w:color w:val="333E50"/>
          <w:sz w:val="36"/>
          <w:szCs w:val="36"/>
          <w:lang w:eastAsia="ru-RU"/>
        </w:rPr>
        <w:t xml:space="preserve">ссчитать реальный и номинальный </w:t>
      </w:r>
      <w:r w:rsidRPr="0019422C">
        <w:rPr>
          <w:rFonts w:ascii="Arial" w:eastAsia="Times New Roman" w:hAnsi="Arial" w:cs="Arial"/>
          <w:b/>
          <w:bCs/>
          <w:color w:val="333E50"/>
          <w:sz w:val="36"/>
          <w:szCs w:val="36"/>
          <w:lang w:eastAsia="ru-RU"/>
        </w:rPr>
        <w:t>ВВП</w:t>
      </w:r>
    </w:p>
    <w:p w:rsidR="0019422C" w:rsidRPr="0019422C" w:rsidRDefault="0019422C" w:rsidP="0019422C">
      <w:pPr>
        <w:spacing w:after="0" w:line="240" w:lineRule="auto"/>
        <w:rPr>
          <w:rFonts w:ascii="Times New Roman" w:eastAsia="Times New Roman" w:hAnsi="Times New Roman" w:cs="Times New Roman"/>
          <w:sz w:val="24"/>
          <w:szCs w:val="24"/>
          <w:lang w:eastAsia="ru-RU"/>
        </w:rPr>
      </w:pPr>
      <w:r w:rsidRPr="0019422C">
        <w:rPr>
          <w:rFonts w:ascii="Arial" w:eastAsia="Times New Roman" w:hAnsi="Arial" w:cs="Arial"/>
          <w:color w:val="333E50"/>
          <w:sz w:val="27"/>
          <w:szCs w:val="27"/>
          <w:shd w:val="clear" w:color="auto" w:fill="FFFFFF"/>
          <w:lang w:eastAsia="ru-RU"/>
        </w:rPr>
        <w:t>Для вычисления значения ВВП, подлежащего сравнению (в неизменяемых ценах), нужно поделить номинальный ВВП на индекс уровня цен. Получаем формулу:</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Перед этим нужно рассчитать валовый внутренний продукт в ценах идущего года, обозначаемый ВВПН. Находится он суммированием всех изготовленных в государстве благ за рассматриваемый период. Для этого денежная стоимость одного товара умножается на их количество:</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Подсчет обоих показателей ведется в денежном выражении. Для сравнения между государствами обычно используется доллар США.</w:t>
      </w:r>
    </w:p>
    <w:p w:rsidR="0019422C" w:rsidRPr="0019422C" w:rsidRDefault="0019422C" w:rsidP="0019422C">
      <w:pPr>
        <w:shd w:val="clear" w:color="auto" w:fill="FFFFFF"/>
        <w:spacing w:after="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lastRenderedPageBreak/>
        <w:t>Таким же образом можно определить реальный </w:t>
      </w:r>
      <w:hyperlink r:id="rId5" w:history="1">
        <w:r w:rsidRPr="0019422C">
          <w:rPr>
            <w:rFonts w:ascii="Arial" w:eastAsia="Times New Roman" w:hAnsi="Arial" w:cs="Arial"/>
            <w:color w:val="388EC3"/>
            <w:sz w:val="27"/>
            <w:szCs w:val="27"/>
            <w:u w:val="single"/>
            <w:bdr w:val="none" w:sz="0" w:space="0" w:color="auto" w:frame="1"/>
            <w:lang w:eastAsia="ru-RU"/>
          </w:rPr>
          <w:t>ВВП</w:t>
        </w:r>
      </w:hyperlink>
      <w:r w:rsidRPr="0019422C">
        <w:rPr>
          <w:rFonts w:ascii="Arial" w:eastAsia="Times New Roman" w:hAnsi="Arial" w:cs="Arial"/>
          <w:color w:val="333E50"/>
          <w:sz w:val="27"/>
          <w:szCs w:val="27"/>
          <w:lang w:eastAsia="ru-RU"/>
        </w:rPr>
        <w:t>, вместо стоимости товаров нынешнего промежутка времени, используя неизменные цены. Например, умножается количество выпущенных автомобилей в 2010 году на их стоимость в 2011 (если он взят как базовый).</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Из этого следует, что номинальный и реальный ВВП в год, принятый за базис, будут идентичны.</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Когда инфляция менее 10%, возможно найти как изменился ВВП в стабильных ценах в процентном соотношении. Для этого из процента изменения номинального ВВП отнимается процент падения/увеличения цен.</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Общий уровень цен еще называют агрегированным показателем или индексом цен (ИЦ</w:t>
      </w:r>
      <w:proofErr w:type="gramStart"/>
      <w:r w:rsidRPr="0019422C">
        <w:rPr>
          <w:rFonts w:ascii="Arial" w:eastAsia="Times New Roman" w:hAnsi="Arial" w:cs="Arial"/>
          <w:color w:val="333E50"/>
          <w:sz w:val="27"/>
          <w:szCs w:val="27"/>
          <w:lang w:eastAsia="ru-RU"/>
        </w:rPr>
        <w:t>).Осуществляя</w:t>
      </w:r>
      <w:proofErr w:type="gramEnd"/>
      <w:r w:rsidRPr="0019422C">
        <w:rPr>
          <w:rFonts w:ascii="Arial" w:eastAsia="Times New Roman" w:hAnsi="Arial" w:cs="Arial"/>
          <w:color w:val="333E50"/>
          <w:sz w:val="27"/>
          <w:szCs w:val="27"/>
          <w:lang w:eastAsia="ru-RU"/>
        </w:rPr>
        <w:t xml:space="preserve"> расчёты в макроэкономике пользуются одним из 3-ех:</w:t>
      </w:r>
    </w:p>
    <w:p w:rsidR="0019422C" w:rsidRPr="0019422C" w:rsidRDefault="0019422C" w:rsidP="0019422C">
      <w:pPr>
        <w:numPr>
          <w:ilvl w:val="0"/>
          <w:numId w:val="1"/>
        </w:numPr>
        <w:shd w:val="clear" w:color="auto" w:fill="FFFFFF"/>
        <w:spacing w:after="15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индекс потребительских цен (ИПЦ) (Вычисления определяются стоимостью товаров потребительской корзины, уникальной в каждом государстве. В нее включаются товары, чаще всего приобретаемые 1 городской семьей на протяжении года);</w:t>
      </w:r>
    </w:p>
    <w:p w:rsidR="0019422C" w:rsidRPr="0019422C" w:rsidRDefault="0019422C" w:rsidP="0019422C">
      <w:pPr>
        <w:numPr>
          <w:ilvl w:val="0"/>
          <w:numId w:val="1"/>
        </w:numPr>
        <w:shd w:val="clear" w:color="auto" w:fill="FFFFFF"/>
        <w:spacing w:after="15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 xml:space="preserve">индекс цен производителей (ИЦП) Чтобы определить эту неизвестную, учитывают, сколько затратили на промежуточные (израсходованные при </w:t>
      </w:r>
      <w:proofErr w:type="gramStart"/>
      <w:r w:rsidRPr="0019422C">
        <w:rPr>
          <w:rFonts w:ascii="Arial" w:eastAsia="Times New Roman" w:hAnsi="Arial" w:cs="Arial"/>
          <w:color w:val="333E50"/>
          <w:sz w:val="27"/>
          <w:szCs w:val="27"/>
          <w:lang w:eastAsia="ru-RU"/>
        </w:rPr>
        <w:t>изготовлении)изделия</w:t>
      </w:r>
      <w:proofErr w:type="gramEnd"/>
      <w:r w:rsidRPr="0019422C">
        <w:rPr>
          <w:rFonts w:ascii="Arial" w:eastAsia="Times New Roman" w:hAnsi="Arial" w:cs="Arial"/>
          <w:color w:val="333E50"/>
          <w:sz w:val="27"/>
          <w:szCs w:val="27"/>
          <w:lang w:eastAsia="ru-RU"/>
        </w:rPr>
        <w:t>;</w:t>
      </w:r>
    </w:p>
    <w:p w:rsidR="0019422C" w:rsidRPr="0019422C" w:rsidRDefault="0019422C" w:rsidP="0019422C">
      <w:pPr>
        <w:numPr>
          <w:ilvl w:val="0"/>
          <w:numId w:val="1"/>
        </w:numPr>
        <w:shd w:val="clear" w:color="auto" w:fill="FFFFFF"/>
        <w:spacing w:after="15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дефлятор (базируется на суммарной стоимости всей, изготовленной в государстве за отчетный период продукции)</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 xml:space="preserve">Для расчета ИПЦ и ИЦП используют формулу </w:t>
      </w:r>
      <w:proofErr w:type="spellStart"/>
      <w:r w:rsidRPr="0019422C">
        <w:rPr>
          <w:rFonts w:ascii="Arial" w:eastAsia="Times New Roman" w:hAnsi="Arial" w:cs="Arial"/>
          <w:color w:val="333E50"/>
          <w:sz w:val="27"/>
          <w:szCs w:val="27"/>
          <w:lang w:eastAsia="ru-RU"/>
        </w:rPr>
        <w:t>Ласпейриса</w:t>
      </w:r>
      <w:proofErr w:type="spellEnd"/>
      <w:r w:rsidRPr="0019422C">
        <w:rPr>
          <w:rFonts w:ascii="Arial" w:eastAsia="Times New Roman" w:hAnsi="Arial" w:cs="Arial"/>
          <w:color w:val="333E50"/>
          <w:sz w:val="27"/>
          <w:szCs w:val="27"/>
          <w:lang w:eastAsia="ru-RU"/>
        </w:rPr>
        <w:t>. Процесс подсчета очень продолжителен и сложен, по этой причине такие индексы определяют, не чаще, чем каждый 5-ый год.</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Индекс потребительских цен, аналогично дефлятору, находят, чтобы определить общий уровень цен и инфляции. Но ИПЦ подходит лишь когда корзина потребительских товаров состоит из большого числа продуктов. Преимуществом дефлятора перед ИПЦ можно считать учет всей продукции, созданной в пределах государства. А вычисляя ИПЦ, учитывают импортные товары.</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Индекс потребительских цен используется также, чтобы определить темп, с которым меняется стоимость жизни. Это нужно для определения «черты бедности», которая влияет на разработку соц. программ.</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lastRenderedPageBreak/>
        <w:t xml:space="preserve">Зная реальный ВВП, становится возможным найти дефлятор ВВП. Он равен отношению номинального ВВП к реальному в % и указывает на значение существующей инфляции; вычисляется по формуле индекса </w:t>
      </w:r>
      <w:proofErr w:type="spellStart"/>
      <w:r w:rsidRPr="0019422C">
        <w:rPr>
          <w:rFonts w:ascii="Arial" w:eastAsia="Times New Roman" w:hAnsi="Arial" w:cs="Arial"/>
          <w:color w:val="333E50"/>
          <w:sz w:val="27"/>
          <w:szCs w:val="27"/>
          <w:lang w:eastAsia="ru-RU"/>
        </w:rPr>
        <w:t>Пааше</w:t>
      </w:r>
      <w:proofErr w:type="spellEnd"/>
      <w:r w:rsidRPr="0019422C">
        <w:rPr>
          <w:rFonts w:ascii="Arial" w:eastAsia="Times New Roman" w:hAnsi="Arial" w:cs="Arial"/>
          <w:color w:val="333E50"/>
          <w:sz w:val="27"/>
          <w:szCs w:val="27"/>
          <w:lang w:eastAsia="ru-RU"/>
        </w:rPr>
        <w:t xml:space="preserve"> ежегодно.</w:t>
      </w:r>
    </w:p>
    <w:p w:rsidR="0019422C" w:rsidRPr="0019422C" w:rsidRDefault="0019422C" w:rsidP="0019422C">
      <w:pPr>
        <w:shd w:val="clear" w:color="auto" w:fill="FFFFFF"/>
        <w:spacing w:after="0" w:line="240" w:lineRule="auto"/>
        <w:ind w:left="750" w:right="750"/>
        <w:textAlignment w:val="baseline"/>
        <w:rPr>
          <w:rFonts w:ascii="Arial" w:eastAsia="Times New Roman" w:hAnsi="Arial" w:cs="Arial"/>
          <w:color w:val="333E50"/>
          <w:sz w:val="27"/>
          <w:szCs w:val="27"/>
          <w:lang w:eastAsia="ru-RU"/>
        </w:rPr>
      </w:pPr>
      <w:hyperlink r:id="rId6" w:history="1">
        <w:r w:rsidRPr="0019422C">
          <w:rPr>
            <w:rFonts w:ascii="Arial" w:eastAsia="Times New Roman" w:hAnsi="Arial" w:cs="Arial"/>
            <w:color w:val="388EC3"/>
            <w:sz w:val="27"/>
            <w:szCs w:val="27"/>
            <w:u w:val="single"/>
            <w:bdr w:val="none" w:sz="0" w:space="0" w:color="auto" w:frame="1"/>
            <w:lang w:eastAsia="ru-RU"/>
          </w:rPr>
          <w:t>Дефлятор</w:t>
        </w:r>
      </w:hyperlink>
      <w:r w:rsidRPr="0019422C">
        <w:rPr>
          <w:rFonts w:ascii="Arial" w:eastAsia="Times New Roman" w:hAnsi="Arial" w:cs="Arial"/>
          <w:color w:val="333E50"/>
          <w:sz w:val="27"/>
          <w:szCs w:val="27"/>
          <w:lang w:eastAsia="ru-RU"/>
        </w:rPr>
        <w:t> ВВП базового периода всегда равняется 1. Чтобы узнать темпы инфляции нужно от показателя нынешнего года отнять значение предыдущего и полученное число поделить на уровень дефлятора предшествующего, и перевести в %.</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Согласно индексу потребительских цен, уровень инфляции всегда завышен (поскольку индекс не берет во внимание изменения в качестве продуктов, поведении и вкусах потребителей; в то время как эти обстоятельства важны в распределении товаров в корзине), дефлятор, наоборот, показывает заниженный показатель, переоценивая изменения таким образом, что приписывает информацию о ценах конкретного года – базисному.</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 xml:space="preserve">Поскольку индекс потребительских цен и дефлятор всегда отличаются, иногда рост инфляции определяют с помощью идеального индекса Фишера. Он является средним геометрическим индексов </w:t>
      </w:r>
      <w:proofErr w:type="spellStart"/>
      <w:r w:rsidRPr="0019422C">
        <w:rPr>
          <w:rFonts w:ascii="Arial" w:eastAsia="Times New Roman" w:hAnsi="Arial" w:cs="Arial"/>
          <w:color w:val="333E50"/>
          <w:sz w:val="27"/>
          <w:szCs w:val="27"/>
          <w:lang w:eastAsia="ru-RU"/>
        </w:rPr>
        <w:t>Пааше</w:t>
      </w:r>
      <w:proofErr w:type="spellEnd"/>
      <w:r w:rsidRPr="0019422C">
        <w:rPr>
          <w:rFonts w:ascii="Arial" w:eastAsia="Times New Roman" w:hAnsi="Arial" w:cs="Arial"/>
          <w:color w:val="333E50"/>
          <w:sz w:val="27"/>
          <w:szCs w:val="27"/>
          <w:lang w:eastAsia="ru-RU"/>
        </w:rPr>
        <w:t xml:space="preserve"> и </w:t>
      </w:r>
      <w:proofErr w:type="spellStart"/>
      <w:r w:rsidRPr="0019422C">
        <w:rPr>
          <w:rFonts w:ascii="Arial" w:eastAsia="Times New Roman" w:hAnsi="Arial" w:cs="Arial"/>
          <w:color w:val="333E50"/>
          <w:sz w:val="27"/>
          <w:szCs w:val="27"/>
          <w:lang w:eastAsia="ru-RU"/>
        </w:rPr>
        <w:t>Ласпейреса</w:t>
      </w:r>
      <w:proofErr w:type="spellEnd"/>
      <w:r w:rsidRPr="0019422C">
        <w:rPr>
          <w:rFonts w:ascii="Arial" w:eastAsia="Times New Roman" w:hAnsi="Arial" w:cs="Arial"/>
          <w:color w:val="333E50"/>
          <w:sz w:val="27"/>
          <w:szCs w:val="27"/>
          <w:lang w:eastAsia="ru-RU"/>
        </w:rPr>
        <w:t>, выражается следующей формуле</w:t>
      </w:r>
    </w:p>
    <w:p w:rsidR="0019422C" w:rsidRPr="0019422C" w:rsidRDefault="0019422C" w:rsidP="0019422C">
      <w:pPr>
        <w:shd w:val="clear" w:color="auto" w:fill="FFFFFF"/>
        <w:spacing w:after="300" w:line="240" w:lineRule="auto"/>
        <w:ind w:left="750" w:right="750"/>
        <w:textAlignment w:val="baseline"/>
        <w:rPr>
          <w:rFonts w:ascii="Arial" w:eastAsia="Times New Roman" w:hAnsi="Arial" w:cs="Arial"/>
          <w:color w:val="333E50"/>
          <w:sz w:val="27"/>
          <w:szCs w:val="27"/>
          <w:lang w:eastAsia="ru-RU"/>
        </w:rPr>
      </w:pPr>
      <w:r w:rsidRPr="0019422C">
        <w:rPr>
          <w:rFonts w:ascii="Arial" w:eastAsia="Times New Roman" w:hAnsi="Arial" w:cs="Arial"/>
          <w:color w:val="333E50"/>
          <w:sz w:val="27"/>
          <w:szCs w:val="27"/>
          <w:lang w:eastAsia="ru-RU"/>
        </w:rPr>
        <w:t xml:space="preserve">Общий уровень цен влияет на уменьшение или увеличение показателя реального ВВП. Когда стоимость продукции становится больше, внутренний валовой продукт в постоянных ценах оказывается меньше ВВП в текущих, но, когда стоимость товаров снижается, значение реального ВВП оказывается выше номинального. В первом случае осуществляется </w:t>
      </w:r>
      <w:proofErr w:type="spellStart"/>
      <w:r w:rsidRPr="0019422C">
        <w:rPr>
          <w:rFonts w:ascii="Arial" w:eastAsia="Times New Roman" w:hAnsi="Arial" w:cs="Arial"/>
          <w:color w:val="333E50"/>
          <w:sz w:val="27"/>
          <w:szCs w:val="27"/>
          <w:lang w:eastAsia="ru-RU"/>
        </w:rPr>
        <w:t>дефлирорование</w:t>
      </w:r>
      <w:proofErr w:type="spellEnd"/>
      <w:r w:rsidRPr="0019422C">
        <w:rPr>
          <w:rFonts w:ascii="Arial" w:eastAsia="Times New Roman" w:hAnsi="Arial" w:cs="Arial"/>
          <w:color w:val="333E50"/>
          <w:sz w:val="27"/>
          <w:szCs w:val="27"/>
          <w:lang w:eastAsia="ru-RU"/>
        </w:rPr>
        <w:t>, при втором варианте -</w:t>
      </w:r>
      <w:proofErr w:type="spellStart"/>
      <w:r w:rsidRPr="0019422C">
        <w:rPr>
          <w:rFonts w:ascii="Arial" w:eastAsia="Times New Roman" w:hAnsi="Arial" w:cs="Arial"/>
          <w:color w:val="333E50"/>
          <w:sz w:val="27"/>
          <w:szCs w:val="27"/>
          <w:lang w:eastAsia="ru-RU"/>
        </w:rPr>
        <w:t>инфлирование</w:t>
      </w:r>
      <w:proofErr w:type="spellEnd"/>
      <w:r w:rsidRPr="0019422C">
        <w:rPr>
          <w:rFonts w:ascii="Arial" w:eastAsia="Times New Roman" w:hAnsi="Arial" w:cs="Arial"/>
          <w:color w:val="333E50"/>
          <w:sz w:val="27"/>
          <w:szCs w:val="27"/>
          <w:lang w:eastAsia="ru-RU"/>
        </w:rPr>
        <w:t xml:space="preserve">. В обеих ситуациях действия направлены на уравнивание валового внутреннего продукта в базовом и текущем году с помощью изменения цен. Только </w:t>
      </w:r>
      <w:proofErr w:type="spellStart"/>
      <w:r w:rsidRPr="0019422C">
        <w:rPr>
          <w:rFonts w:ascii="Arial" w:eastAsia="Times New Roman" w:hAnsi="Arial" w:cs="Arial"/>
          <w:color w:val="333E50"/>
          <w:sz w:val="27"/>
          <w:szCs w:val="27"/>
          <w:lang w:eastAsia="ru-RU"/>
        </w:rPr>
        <w:t>дефлирование</w:t>
      </w:r>
      <w:proofErr w:type="spellEnd"/>
      <w:r w:rsidRPr="0019422C">
        <w:rPr>
          <w:rFonts w:ascii="Arial" w:eastAsia="Times New Roman" w:hAnsi="Arial" w:cs="Arial"/>
          <w:color w:val="333E50"/>
          <w:sz w:val="27"/>
          <w:szCs w:val="27"/>
          <w:lang w:eastAsia="ru-RU"/>
        </w:rPr>
        <w:t xml:space="preserve"> – это уменьшение стоимости до уровня базисного года, а </w:t>
      </w:r>
      <w:proofErr w:type="spellStart"/>
      <w:r w:rsidRPr="0019422C">
        <w:rPr>
          <w:rFonts w:ascii="Arial" w:eastAsia="Times New Roman" w:hAnsi="Arial" w:cs="Arial"/>
          <w:color w:val="333E50"/>
          <w:sz w:val="27"/>
          <w:szCs w:val="27"/>
          <w:lang w:eastAsia="ru-RU"/>
        </w:rPr>
        <w:t>инфлирование</w:t>
      </w:r>
      <w:proofErr w:type="spellEnd"/>
      <w:r w:rsidRPr="0019422C">
        <w:rPr>
          <w:rFonts w:ascii="Arial" w:eastAsia="Times New Roman" w:hAnsi="Arial" w:cs="Arial"/>
          <w:color w:val="333E50"/>
          <w:sz w:val="27"/>
          <w:szCs w:val="27"/>
          <w:lang w:eastAsia="ru-RU"/>
        </w:rPr>
        <w:t xml:space="preserve"> - увеличение цен.</w:t>
      </w:r>
    </w:p>
    <w:p w:rsidR="0019422C" w:rsidRPr="0019422C" w:rsidRDefault="0019422C" w:rsidP="0019422C">
      <w:pPr>
        <w:shd w:val="clear" w:color="auto" w:fill="FFFFFF"/>
        <w:spacing w:after="300" w:line="240" w:lineRule="auto"/>
        <w:ind w:left="750" w:right="750"/>
        <w:textAlignment w:val="baseline"/>
        <w:outlineLvl w:val="1"/>
        <w:rPr>
          <w:rFonts w:ascii="Arial" w:eastAsia="Times New Roman" w:hAnsi="Arial" w:cs="Arial"/>
          <w:b/>
          <w:bCs/>
          <w:color w:val="333E50"/>
          <w:sz w:val="36"/>
          <w:szCs w:val="36"/>
          <w:lang w:eastAsia="ru-RU"/>
        </w:rPr>
      </w:pPr>
      <w:r w:rsidRPr="0019422C">
        <w:rPr>
          <w:rFonts w:ascii="Arial" w:eastAsia="Times New Roman" w:hAnsi="Arial" w:cs="Arial"/>
          <w:b/>
          <w:bCs/>
          <w:color w:val="333E50"/>
          <w:sz w:val="36"/>
          <w:szCs w:val="36"/>
          <w:lang w:eastAsia="ru-RU"/>
        </w:rPr>
        <w:t>Реальный и номинальный ВВП России</w:t>
      </w:r>
    </w:p>
    <w:tbl>
      <w:tblPr>
        <w:tblW w:w="0" w:type="auto"/>
        <w:tblCellMar>
          <w:left w:w="0" w:type="dxa"/>
          <w:right w:w="0" w:type="dxa"/>
        </w:tblCellMar>
        <w:tblLook w:val="04A0" w:firstRow="1" w:lastRow="0" w:firstColumn="1" w:lastColumn="0" w:noHBand="0" w:noVBand="1"/>
      </w:tblPr>
      <w:tblGrid>
        <w:gridCol w:w="3904"/>
        <w:gridCol w:w="905"/>
        <w:gridCol w:w="906"/>
        <w:gridCol w:w="906"/>
        <w:gridCol w:w="906"/>
        <w:gridCol w:w="906"/>
        <w:gridCol w:w="906"/>
      </w:tblGrid>
      <w:tr w:rsidR="0019422C" w:rsidRPr="0019422C" w:rsidTr="0019422C">
        <w:tc>
          <w:tcPr>
            <w:tcW w:w="0" w:type="auto"/>
            <w:tcBorders>
              <w:top w:val="single" w:sz="6" w:space="0" w:color="CCCCCC"/>
              <w:left w:val="single" w:sz="6" w:space="0" w:color="CCCCCC"/>
              <w:bottom w:val="single" w:sz="6" w:space="0" w:color="E8E9EB"/>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150" w:line="240" w:lineRule="auto"/>
              <w:textAlignment w:val="baseline"/>
              <w:rPr>
                <w:rFonts w:ascii="Times New Roman" w:eastAsia="Times New Roman" w:hAnsi="Times New Roman" w:cs="Times New Roman"/>
                <w:b/>
                <w:bCs/>
                <w:color w:val="777777"/>
                <w:sz w:val="24"/>
                <w:szCs w:val="24"/>
                <w:lang w:eastAsia="ru-RU"/>
              </w:rPr>
            </w:pPr>
          </w:p>
        </w:tc>
        <w:tc>
          <w:tcPr>
            <w:tcW w:w="0" w:type="auto"/>
            <w:tcBorders>
              <w:top w:val="single" w:sz="6" w:space="0" w:color="CCCCCC"/>
              <w:left w:val="single" w:sz="6" w:space="0" w:color="CCCCCC"/>
              <w:bottom w:val="single" w:sz="6" w:space="0" w:color="E8E9EB"/>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2011</w:t>
            </w:r>
          </w:p>
        </w:tc>
        <w:tc>
          <w:tcPr>
            <w:tcW w:w="0" w:type="auto"/>
            <w:tcBorders>
              <w:top w:val="single" w:sz="6" w:space="0" w:color="CCCCCC"/>
              <w:left w:val="single" w:sz="6" w:space="0" w:color="CCCCCC"/>
              <w:bottom w:val="single" w:sz="6" w:space="0" w:color="E8E9EB"/>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2012</w:t>
            </w:r>
          </w:p>
        </w:tc>
        <w:tc>
          <w:tcPr>
            <w:tcW w:w="0" w:type="auto"/>
            <w:tcBorders>
              <w:top w:val="single" w:sz="6" w:space="0" w:color="CCCCCC"/>
              <w:left w:val="single" w:sz="6" w:space="0" w:color="CCCCCC"/>
              <w:bottom w:val="single" w:sz="6" w:space="0" w:color="E8E9EB"/>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2013</w:t>
            </w:r>
          </w:p>
        </w:tc>
        <w:tc>
          <w:tcPr>
            <w:tcW w:w="0" w:type="auto"/>
            <w:tcBorders>
              <w:top w:val="single" w:sz="6" w:space="0" w:color="CCCCCC"/>
              <w:left w:val="single" w:sz="6" w:space="0" w:color="CCCCCC"/>
              <w:bottom w:val="single" w:sz="6" w:space="0" w:color="E8E9EB"/>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2014</w:t>
            </w:r>
          </w:p>
        </w:tc>
        <w:tc>
          <w:tcPr>
            <w:tcW w:w="0" w:type="auto"/>
            <w:tcBorders>
              <w:top w:val="single" w:sz="6" w:space="0" w:color="CCCCCC"/>
              <w:left w:val="single" w:sz="6" w:space="0" w:color="CCCCCC"/>
              <w:bottom w:val="single" w:sz="6" w:space="0" w:color="E8E9EB"/>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2015</w:t>
            </w:r>
          </w:p>
        </w:tc>
        <w:tc>
          <w:tcPr>
            <w:tcW w:w="0" w:type="auto"/>
            <w:tcBorders>
              <w:top w:val="single" w:sz="6" w:space="0" w:color="CCCCCC"/>
              <w:left w:val="single" w:sz="6" w:space="0" w:color="CCCCCC"/>
              <w:bottom w:val="single" w:sz="6" w:space="0" w:color="E8E9EB"/>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2016</w:t>
            </w:r>
          </w:p>
        </w:tc>
      </w:tr>
      <w:tr w:rsidR="0019422C" w:rsidRPr="0019422C" w:rsidTr="0019422C">
        <w:tc>
          <w:tcPr>
            <w:tcW w:w="0" w:type="auto"/>
            <w:tcBorders>
              <w:top w:val="single" w:sz="6" w:space="0" w:color="CCCCCC"/>
              <w:left w:val="single" w:sz="6" w:space="0" w:color="CCCCCC"/>
              <w:bottom w:val="single" w:sz="6" w:space="0" w:color="E8E9EB"/>
              <w:right w:val="single" w:sz="6" w:space="0" w:color="CCCCCC"/>
            </w:tcBorders>
            <w:shd w:val="clear" w:color="auto" w:fill="F4F4F4"/>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Номинальный ВВП (млрд. руб.)</w:t>
            </w:r>
          </w:p>
        </w:tc>
        <w:tc>
          <w:tcPr>
            <w:tcW w:w="0" w:type="auto"/>
            <w:tcBorders>
              <w:top w:val="single" w:sz="6" w:space="0" w:color="CCCCCC"/>
              <w:left w:val="single" w:sz="6" w:space="0" w:color="CCCCCC"/>
              <w:bottom w:val="single" w:sz="6" w:space="0" w:color="E8E9EB"/>
              <w:right w:val="single" w:sz="6" w:space="0" w:color="CCCCCC"/>
            </w:tcBorders>
            <w:shd w:val="clear" w:color="auto" w:fill="F4F4F4"/>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60282,5</w:t>
            </w:r>
          </w:p>
        </w:tc>
        <w:tc>
          <w:tcPr>
            <w:tcW w:w="0" w:type="auto"/>
            <w:tcBorders>
              <w:top w:val="single" w:sz="6" w:space="0" w:color="CCCCCC"/>
              <w:left w:val="single" w:sz="6" w:space="0" w:color="CCCCCC"/>
              <w:bottom w:val="single" w:sz="6" w:space="0" w:color="E8E9EB"/>
              <w:right w:val="single" w:sz="6" w:space="0" w:color="CCCCCC"/>
            </w:tcBorders>
            <w:shd w:val="clear" w:color="auto" w:fill="F4F4F4"/>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68163,9</w:t>
            </w:r>
          </w:p>
        </w:tc>
        <w:tc>
          <w:tcPr>
            <w:tcW w:w="0" w:type="auto"/>
            <w:tcBorders>
              <w:top w:val="single" w:sz="6" w:space="0" w:color="CCCCCC"/>
              <w:left w:val="single" w:sz="6" w:space="0" w:color="CCCCCC"/>
              <w:bottom w:val="single" w:sz="6" w:space="0" w:color="E8E9EB"/>
              <w:right w:val="single" w:sz="6" w:space="0" w:color="CCCCCC"/>
            </w:tcBorders>
            <w:shd w:val="clear" w:color="auto" w:fill="F4F4F4"/>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73133,9</w:t>
            </w:r>
          </w:p>
        </w:tc>
        <w:tc>
          <w:tcPr>
            <w:tcW w:w="0" w:type="auto"/>
            <w:tcBorders>
              <w:top w:val="single" w:sz="6" w:space="0" w:color="CCCCCC"/>
              <w:left w:val="single" w:sz="6" w:space="0" w:color="CCCCCC"/>
              <w:bottom w:val="single" w:sz="6" w:space="0" w:color="E8E9EB"/>
              <w:right w:val="single" w:sz="6" w:space="0" w:color="CCCCCC"/>
            </w:tcBorders>
            <w:shd w:val="clear" w:color="auto" w:fill="F4F4F4"/>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79199,7</w:t>
            </w:r>
          </w:p>
        </w:tc>
        <w:tc>
          <w:tcPr>
            <w:tcW w:w="0" w:type="auto"/>
            <w:tcBorders>
              <w:top w:val="single" w:sz="6" w:space="0" w:color="CCCCCC"/>
              <w:left w:val="single" w:sz="6" w:space="0" w:color="CCCCCC"/>
              <w:bottom w:val="single" w:sz="6" w:space="0" w:color="E8E9EB"/>
              <w:right w:val="single" w:sz="6" w:space="0" w:color="CCCCCC"/>
            </w:tcBorders>
            <w:shd w:val="clear" w:color="auto" w:fill="F4F4F4"/>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83387,2</w:t>
            </w:r>
          </w:p>
        </w:tc>
        <w:tc>
          <w:tcPr>
            <w:tcW w:w="0" w:type="auto"/>
            <w:tcBorders>
              <w:top w:val="single" w:sz="6" w:space="0" w:color="CCCCCC"/>
              <w:left w:val="single" w:sz="6" w:space="0" w:color="CCCCCC"/>
              <w:bottom w:val="single" w:sz="6" w:space="0" w:color="E8E9EB"/>
              <w:right w:val="single" w:sz="6" w:space="0" w:color="CCCCCC"/>
            </w:tcBorders>
            <w:shd w:val="clear" w:color="auto" w:fill="F4F4F4"/>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85917,8</w:t>
            </w:r>
          </w:p>
        </w:tc>
      </w:tr>
      <w:tr w:rsidR="0019422C" w:rsidRPr="0019422C" w:rsidTr="0019422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 xml:space="preserve">Реальный ВВП ( в ценах 2011г., </w:t>
            </w:r>
            <w:proofErr w:type="spellStart"/>
            <w:r w:rsidRPr="0019422C">
              <w:rPr>
                <w:rFonts w:ascii="Times New Roman" w:eastAsia="Times New Roman" w:hAnsi="Times New Roman" w:cs="Times New Roman"/>
                <w:sz w:val="21"/>
                <w:szCs w:val="21"/>
                <w:lang w:eastAsia="ru-RU"/>
              </w:rPr>
              <w:t>млрд.руб</w:t>
            </w:r>
            <w:proofErr w:type="spellEnd"/>
            <w:r w:rsidRPr="0019422C">
              <w:rPr>
                <w:rFonts w:ascii="Times New Roman" w:eastAsia="Times New Roman" w:hAnsi="Times New Roman" w:cs="Times New Roman"/>
                <w:sz w:val="21"/>
                <w:szCs w:val="21"/>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60282,5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62486,4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63602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64071,8</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62445,4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hideMark/>
          </w:tcPr>
          <w:p w:rsidR="0019422C" w:rsidRPr="0019422C" w:rsidRDefault="0019422C" w:rsidP="0019422C">
            <w:pPr>
              <w:spacing w:after="0" w:line="240" w:lineRule="auto"/>
              <w:rPr>
                <w:rFonts w:ascii="Times New Roman" w:eastAsia="Times New Roman" w:hAnsi="Times New Roman" w:cs="Times New Roman"/>
                <w:sz w:val="21"/>
                <w:szCs w:val="21"/>
                <w:lang w:eastAsia="ru-RU"/>
              </w:rPr>
            </w:pPr>
            <w:r w:rsidRPr="0019422C">
              <w:rPr>
                <w:rFonts w:ascii="Times New Roman" w:eastAsia="Times New Roman" w:hAnsi="Times New Roman" w:cs="Times New Roman"/>
                <w:sz w:val="21"/>
                <w:szCs w:val="21"/>
                <w:lang w:eastAsia="ru-RU"/>
              </w:rPr>
              <w:t>62333,9</w:t>
            </w:r>
          </w:p>
        </w:tc>
      </w:tr>
      <w:tr w:rsidR="0019422C" w:rsidRPr="0019422C" w:rsidTr="0019422C">
        <w:tc>
          <w:tcPr>
            <w:tcW w:w="0" w:type="auto"/>
            <w:gridSpan w:val="7"/>
            <w:tcBorders>
              <w:top w:val="nil"/>
              <w:left w:val="nil"/>
              <w:bottom w:val="nil"/>
              <w:right w:val="nil"/>
            </w:tcBorders>
            <w:shd w:val="clear" w:color="auto" w:fill="auto"/>
            <w:tcMar>
              <w:top w:w="75" w:type="dxa"/>
              <w:left w:w="75" w:type="dxa"/>
              <w:bottom w:w="75" w:type="dxa"/>
              <w:right w:w="75" w:type="dxa"/>
            </w:tcMar>
            <w:vAlign w:val="center"/>
            <w:hideMark/>
          </w:tcPr>
          <w:p w:rsidR="0019422C" w:rsidRPr="0019422C" w:rsidRDefault="0019422C" w:rsidP="0019422C">
            <w:pPr>
              <w:spacing w:after="150" w:line="240" w:lineRule="auto"/>
              <w:textAlignment w:val="baseline"/>
              <w:rPr>
                <w:rFonts w:ascii="Times New Roman" w:eastAsia="Times New Roman" w:hAnsi="Times New Roman" w:cs="Times New Roman"/>
                <w:b/>
                <w:bCs/>
                <w:color w:val="777777"/>
                <w:sz w:val="24"/>
                <w:szCs w:val="24"/>
                <w:lang w:eastAsia="ru-RU"/>
              </w:rPr>
            </w:pPr>
            <w:r>
              <w:rPr>
                <w:rFonts w:ascii="Times New Roman" w:eastAsia="Times New Roman" w:hAnsi="Times New Roman" w:cs="Times New Roman"/>
                <w:b/>
                <w:bCs/>
                <w:color w:val="777777"/>
                <w:sz w:val="24"/>
                <w:szCs w:val="24"/>
                <w:lang w:eastAsia="ru-RU"/>
              </w:rPr>
              <w:lastRenderedPageBreak/>
              <w:t xml:space="preserve">Источник: </w:t>
            </w:r>
            <w:r w:rsidRPr="0019422C">
              <w:rPr>
                <w:rFonts w:ascii="Times New Roman" w:eastAsia="Times New Roman" w:hAnsi="Times New Roman" w:cs="Times New Roman"/>
                <w:b/>
                <w:bCs/>
                <w:color w:val="777777"/>
                <w:sz w:val="24"/>
                <w:szCs w:val="24"/>
                <w:lang w:eastAsia="ru-RU"/>
              </w:rPr>
              <w:t>https://bankiros.ru/wiki/term/realnyj-i-nominalnyj-vvp-vnutrennij-valovyj-produkt</w:t>
            </w:r>
            <w:bookmarkStart w:id="0" w:name="_GoBack"/>
            <w:bookmarkEnd w:id="0"/>
          </w:p>
        </w:tc>
      </w:tr>
    </w:tbl>
    <w:p w:rsidR="00F3761A" w:rsidRDefault="00F3761A"/>
    <w:sectPr w:rsidR="00F376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EC224F"/>
    <w:multiLevelType w:val="multilevel"/>
    <w:tmpl w:val="F5F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93"/>
    <w:rsid w:val="000A3693"/>
    <w:rsid w:val="0019422C"/>
    <w:rsid w:val="00F376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9A2E"/>
  <w15:chartTrackingRefBased/>
  <w15:docId w15:val="{DFB0A4BD-43A7-46E0-A743-0557A1AEF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19422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9422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9422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9422C"/>
    <w:rPr>
      <w:b/>
      <w:bCs/>
    </w:rPr>
  </w:style>
  <w:style w:type="character" w:styleId="a5">
    <w:name w:val="Hyperlink"/>
    <w:basedOn w:val="a0"/>
    <w:uiPriority w:val="99"/>
    <w:semiHidden/>
    <w:unhideWhenUsed/>
    <w:rsid w:val="00194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493689">
      <w:bodyDiv w:val="1"/>
      <w:marLeft w:val="0"/>
      <w:marRight w:val="0"/>
      <w:marTop w:val="0"/>
      <w:marBottom w:val="0"/>
      <w:divBdr>
        <w:top w:val="none" w:sz="0" w:space="0" w:color="auto"/>
        <w:left w:val="none" w:sz="0" w:space="0" w:color="auto"/>
        <w:bottom w:val="none" w:sz="0" w:space="0" w:color="auto"/>
        <w:right w:val="none" w:sz="0" w:space="0" w:color="auto"/>
      </w:divBdr>
      <w:divsChild>
        <w:div w:id="2123265135">
          <w:marLeft w:val="0"/>
          <w:marRight w:val="0"/>
          <w:marTop w:val="0"/>
          <w:marBottom w:val="0"/>
          <w:divBdr>
            <w:top w:val="none" w:sz="0" w:space="0" w:color="auto"/>
            <w:left w:val="none" w:sz="0" w:space="0" w:color="auto"/>
            <w:bottom w:val="none" w:sz="0" w:space="0" w:color="auto"/>
            <w:right w:val="none" w:sz="0" w:space="0" w:color="auto"/>
          </w:divBdr>
          <w:divsChild>
            <w:div w:id="1685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nkiros.ru/wiki/term/deflator-vvp" TargetMode="External"/><Relationship Id="rId5" Type="http://schemas.openxmlformats.org/officeDocument/2006/relationships/hyperlink" Target="https://bankiros.ru/wiki/term/valovyj-vnutrennij-produkt-vvp"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769</Words>
  <Characters>5189</Characters>
  <Application>Microsoft Office Word</Application>
  <DocSecurity>0</DocSecurity>
  <Lines>144</Lines>
  <Paragraphs>51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2020-03-14T16:22:00Z</dcterms:created>
  <dcterms:modified xsi:type="dcterms:W3CDTF">2020-03-14T16:24:00Z</dcterms:modified>
</cp:coreProperties>
</file>