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color w:val="1F3864"/>
          <w:sz w:val="36"/>
          <w:szCs w:val="36"/>
        </w:rPr>
        <w:t xml:space="preserve">Vulnerability Management Sprint: Remediation Report</w:t>
      </w:r>
    </w:p>
    <w:p>
      <w:pPr>
        <w:spacing w:after="20"/>
      </w:pPr>
      <w:r>
        <w:rPr>
          <w:rFonts w:ascii="Arial" w:cs="Arial" w:eastAsia="Arial" w:hAnsi="Arial"/>
          <w:b/>
          <w:bCs/>
          <w:color w:val="1F3864"/>
          <w:sz w:val="20"/>
          <w:szCs w:val="20"/>
        </w:rPr>
        <w:t xml:space="preserve">Name: </w:t>
      </w:r>
      <w:r>
        <w:rPr>
          <w:rFonts w:ascii="Arial" w:cs="Arial" w:eastAsia="Arial" w:hAnsi="Arial"/>
          <w:color w:val="333333"/>
          <w:sz w:val="20"/>
          <w:szCs w:val="20"/>
        </w:rPr>
        <w:t xml:space="preserve">Miracle Chimamanda Ndubuisi</w:t>
      </w:r>
    </w:p>
    <w:p>
      <w:pPr>
        <w:spacing w:after="20"/>
      </w:pPr>
      <w:r>
        <w:rPr>
          <w:rFonts w:ascii="Arial" w:cs="Arial" w:eastAsia="Arial" w:hAnsi="Arial"/>
          <w:b/>
          <w:bCs/>
          <w:color w:val="1F3864"/>
          <w:sz w:val="20"/>
          <w:szCs w:val="20"/>
        </w:rPr>
        <w:t xml:space="preserve">Program: </w:t>
      </w:r>
      <w:r>
        <w:rPr>
          <w:rFonts w:ascii="Arial" w:cs="Arial" w:eastAsia="Arial" w:hAnsi="Arial"/>
          <w:color w:val="333333"/>
          <w:sz w:val="20"/>
          <w:szCs w:val="20"/>
        </w:rPr>
        <w:t xml:space="preserve">SOC Analyst Training Program</w:t>
      </w:r>
    </w:p>
    <w:p>
      <w:pPr>
        <w:spacing w:after="20"/>
      </w:pPr>
      <w:r>
        <w:rPr>
          <w:rFonts w:ascii="Arial" w:cs="Arial" w:eastAsia="Arial" w:hAnsi="Arial"/>
          <w:b/>
          <w:bCs/>
          <w:color w:val="1F3864"/>
          <w:sz w:val="20"/>
          <w:szCs w:val="20"/>
        </w:rPr>
        <w:t xml:space="preserve">Project: </w:t>
      </w:r>
      <w:r>
        <w:rPr>
          <w:rFonts w:ascii="Arial" w:cs="Arial" w:eastAsia="Arial" w:hAnsi="Arial"/>
          <w:color w:val="333333"/>
          <w:sz w:val="20"/>
          <w:szCs w:val="20"/>
        </w:rPr>
        <w:t xml:space="preserve">Vulnerability Management Sprint (Standalone One-Week Project)</w:t>
      </w:r>
    </w:p>
    <w:p>
      <w:pPr>
        <w:spacing w:after="20"/>
      </w:pPr>
      <w:r>
        <w:rPr>
          <w:rFonts w:ascii="Arial" w:cs="Arial" w:eastAsia="Arial" w:hAnsi="Arial"/>
          <w:b/>
          <w:bCs/>
          <w:color w:val="1F3864"/>
          <w:sz w:val="20"/>
          <w:szCs w:val="20"/>
        </w:rPr>
        <w:t xml:space="preserve">Date: </w:t>
      </w:r>
      <w:r>
        <w:rPr>
          <w:rFonts w:ascii="Arial" w:cs="Arial" w:eastAsia="Arial" w:hAnsi="Arial"/>
          <w:color w:val="333333"/>
          <w:sz w:val="20"/>
          <w:szCs w:val="20"/>
        </w:rPr>
        <w:t xml:space="preserve">17 September 2026</w:t>
      </w:r>
    </w:p>
    <w:p>
      <w:pPr>
        <w:spacing w:after="140"/>
      </w:pPr>
      <w:r>
        <w:rPr>
          <w:rFonts w:ascii="Arial" w:cs="Arial" w:eastAsia="Arial" w:hAnsi="Arial"/>
          <w:b/>
          <w:bCs/>
          <w:color w:val="1F3864"/>
          <w:sz w:val="20"/>
          <w:szCs w:val="20"/>
        </w:rPr>
        <w:t xml:space="preserve">Tools: </w:t>
      </w:r>
      <w:r>
        <w:rPr>
          <w:rFonts w:ascii="Arial" w:cs="Arial" w:eastAsia="Arial" w:hAnsi="Arial"/>
          <w:color w:val="333333"/>
          <w:sz w:val="20"/>
          <w:szCs w:val="20"/>
        </w:rPr>
        <w:t xml:space="preserve">Wazuh 4.14.6 Vulnerability Detection, CISA KEV, NVD</w:t>
      </w:r>
    </w:p>
    <w:p>
      <w:pPr>
        <w:pStyle w:val="Heading2"/>
        <w:spacing w:after="40" w:before="120"/>
      </w:pPr>
      <w:r>
        <w:rPr>
          <w:rFonts w:ascii="Arial" w:cs="Arial" w:eastAsia="Arial" w:hAnsi="Arial"/>
          <w:b/>
          <w:bCs/>
          <w:color w:val="1F3864"/>
          <w:sz w:val="28"/>
          <w:szCs w:val="28"/>
        </w:rPr>
        <w:t xml:space="preserve">1. Summary</w:t>
      </w:r>
    </w:p>
    <w:p>
      <w:pPr>
        <w:spacing w:after="60"/>
      </w:pPr>
      <w:r>
        <w:rPr>
          <w:rFonts w:ascii="Arial" w:cs="Arial" w:eastAsia="Arial" w:hAnsi="Arial"/>
          <w:sz w:val="22"/>
          <w:szCs w:val="22"/>
        </w:rPr>
        <w:t xml:space="preserve">Wazuh's built-in Vulnerability Detection module was enabled against the two lab endpoints from Project 1 and produced 6,420 findings across 3,218 unique CVEs. After cross-referencing every CVE against the CISA Known Exploited Vulnerabilities catalog and weighting by asset criticality, the estate reduced to one P1, eight P2 and one P3 item. Four remediations were carried out and verified by re-scan, cutting total findings by 50% (6,420 to 3,182) and resolving 100% of P1 and all actionable P2 items. The remaining 3,182 findings sit in the running Ubuntu kernel, for which no patch is currently available, and are recorded as accepted risk with monitoring.</w:t>
      </w:r>
    </w:p>
    <w:p>
      <w:pPr>
        <w:pStyle w:val="Heading2"/>
        <w:spacing w:after="40" w:before="120"/>
      </w:pPr>
      <w:r>
        <w:rPr>
          <w:rFonts w:ascii="Arial" w:cs="Arial" w:eastAsia="Arial" w:hAnsi="Arial"/>
          <w:b/>
          <w:bCs/>
          <w:color w:val="1F3864"/>
          <w:sz w:val="28"/>
          <w:szCs w:val="28"/>
        </w:rPr>
        <w:t xml:space="preserve">2. Detection setup</w:t>
      </w:r>
    </w:p>
    <w:p>
      <w:pPr>
        <w:spacing w:after="60"/>
      </w:pPr>
      <w:r>
        <w:rPr>
          <w:rFonts w:ascii="Arial" w:cs="Arial" w:eastAsia="Arial" w:hAnsi="Arial"/>
          <w:sz w:val="22"/>
          <w:szCs w:val="22"/>
        </w:rPr>
        <w:t xml:space="preserve">Wazuh 4.14.6 ships with the Vulnerability Detection module enabled by default (enabled: yes, index-status: yes, feed-update-interval: 60m) using the Wazuh CTI feed; this was verified rather than configured. Syscollector on both agents was confirmed to collect package inventory (and hotfixes on Windows, which was added explicitly). Both agents reported Active and the scanner module started cleanly after a manager restart.</w:t>
      </w:r>
    </w:p>
    <w:p>
      <w:pPr>
        <w:pStyle w:val="Heading2"/>
        <w:spacing w:after="40" w:before="120"/>
      </w:pPr>
      <w:r>
        <w:rPr>
          <w:rFonts w:ascii="Arial" w:cs="Arial" w:eastAsia="Arial" w:hAnsi="Arial"/>
          <w:b/>
          <w:bCs/>
          <w:color w:val="1F3864"/>
          <w:sz w:val="28"/>
          <w:szCs w:val="28"/>
        </w:rPr>
        <w:t xml:space="preserve">3. What was found</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2300"/>
        <w:gridCol w:w="1050"/>
        <w:gridCol w:w="850"/>
        <w:gridCol w:w="900"/>
        <w:gridCol w:w="800"/>
        <w:gridCol w:w="900"/>
        <w:gridCol w:w="700"/>
        <w:gridCol w:w="950"/>
        <w:gridCol w:w="1100"/>
      </w:tblGrid>
      <w:tr>
        <w:tc>
          <w:tcPr>
            <w:tcW w:type="dxa" w:w="23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Arial" w:cs="Arial" w:eastAsia="Arial" w:hAnsi="Arial"/>
                <w:b/>
                <w:bCs/>
                <w:color w:val="FFFFFF"/>
                <w:sz w:val="19"/>
                <w:szCs w:val="19"/>
              </w:rPr>
              <w:t xml:space="preserve">Endpoint</w:t>
            </w:r>
          </w:p>
        </w:tc>
        <w:tc>
          <w:tcPr>
            <w:tcW w:type="dxa" w:w="105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Arial" w:cs="Arial" w:eastAsia="Arial" w:hAnsi="Arial"/>
                <w:b/>
                <w:bCs/>
                <w:color w:val="FFFFFF"/>
                <w:sz w:val="19"/>
                <w:szCs w:val="19"/>
              </w:rPr>
              <w:t xml:space="preserve">Criticality</w:t>
            </w:r>
          </w:p>
        </w:tc>
        <w:tc>
          <w:tcPr>
            <w:tcW w:type="dxa" w:w="85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Arial" w:cs="Arial" w:eastAsia="Arial" w:hAnsi="Arial"/>
                <w:b/>
                <w:bCs/>
                <w:color w:val="FFFFFF"/>
                <w:sz w:val="19"/>
                <w:szCs w:val="19"/>
              </w:rPr>
              <w:t xml:space="preserve">Total</w:t>
            </w:r>
          </w:p>
        </w:tc>
        <w:tc>
          <w:tcPr>
            <w:tcW w:type="dxa" w:w="9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Arial" w:cs="Arial" w:eastAsia="Arial" w:hAnsi="Arial"/>
                <w:b/>
                <w:bCs/>
                <w:color w:val="FFFFFF"/>
                <w:sz w:val="19"/>
                <w:szCs w:val="19"/>
              </w:rPr>
              <w:t xml:space="preserve">Critical</w:t>
            </w:r>
          </w:p>
        </w:tc>
        <w:tc>
          <w:tcPr>
            <w:tcW w:type="dxa" w:w="8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Arial" w:cs="Arial" w:eastAsia="Arial" w:hAnsi="Arial"/>
                <w:b/>
                <w:bCs/>
                <w:color w:val="FFFFFF"/>
                <w:sz w:val="19"/>
                <w:szCs w:val="19"/>
              </w:rPr>
              <w:t xml:space="preserve">High</w:t>
            </w:r>
          </w:p>
        </w:tc>
        <w:tc>
          <w:tcPr>
            <w:tcW w:type="dxa" w:w="9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Arial" w:cs="Arial" w:eastAsia="Arial" w:hAnsi="Arial"/>
                <w:b/>
                <w:bCs/>
                <w:color w:val="FFFFFF"/>
                <w:sz w:val="19"/>
                <w:szCs w:val="19"/>
              </w:rPr>
              <w:t xml:space="preserve">Medium</w:t>
            </w:r>
          </w:p>
        </w:tc>
        <w:tc>
          <w:tcPr>
            <w:tcW w:type="dxa" w:w="7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Arial" w:cs="Arial" w:eastAsia="Arial" w:hAnsi="Arial"/>
                <w:b/>
                <w:bCs/>
                <w:color w:val="FFFFFF"/>
                <w:sz w:val="19"/>
                <w:szCs w:val="19"/>
              </w:rPr>
              <w:t xml:space="preserve">Low</w:t>
            </w:r>
          </w:p>
        </w:tc>
        <w:tc>
          <w:tcPr>
            <w:tcW w:type="dxa" w:w="95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Arial" w:cs="Arial" w:eastAsia="Arial" w:hAnsi="Arial"/>
                <w:b/>
                <w:bCs/>
                <w:color w:val="FFFFFF"/>
                <w:sz w:val="19"/>
                <w:szCs w:val="19"/>
              </w:rPr>
              <w:t xml:space="preserve">Unscored</w:t>
            </w:r>
          </w:p>
        </w:tc>
        <w:tc>
          <w:tcPr>
            <w:tcW w:type="dxa" w:w="11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Arial" w:cs="Arial" w:eastAsia="Arial" w:hAnsi="Arial"/>
                <w:b/>
                <w:bCs/>
                <w:color w:val="FFFFFF"/>
                <w:sz w:val="19"/>
                <w:szCs w:val="19"/>
              </w:rPr>
              <w:t xml:space="preserve">In CISA KEV</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linux-endpoint (Ubuntu 22.04.5)</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Medium</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val="false"/>
                <w:bCs w:val="false"/>
                <w:color w:val="000000"/>
                <w:sz w:val="19"/>
                <w:szCs w:val="19"/>
              </w:rPr>
              <w:t xml:space="preserve">6,407</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val="false"/>
                <w:bCs w:val="false"/>
                <w:color w:val="000000"/>
                <w:sz w:val="19"/>
                <w:szCs w:val="19"/>
              </w:rPr>
              <w:t xml:space="preserve">371</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val="false"/>
                <w:bCs w:val="false"/>
                <w:color w:val="000000"/>
                <w:sz w:val="19"/>
                <w:szCs w:val="19"/>
              </w:rPr>
              <w:t xml:space="preserve">2,207</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val="false"/>
                <w:bCs w:val="false"/>
                <w:color w:val="000000"/>
                <w:sz w:val="19"/>
                <w:szCs w:val="19"/>
              </w:rPr>
              <w:t xml:space="preserve">2,383</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val="false"/>
                <w:bCs w:val="false"/>
                <w:color w:val="000000"/>
                <w:sz w:val="19"/>
                <w:szCs w:val="19"/>
              </w:rPr>
              <w:t xml:space="preserve">41</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val="false"/>
                <w:bCs w:val="false"/>
                <w:color w:val="000000"/>
                <w:sz w:val="19"/>
                <w:szCs w:val="19"/>
              </w:rPr>
              <w:t xml:space="preserve">1,405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val="false"/>
                <w:bCs w:val="false"/>
                <w:color w:val="000000"/>
                <w:sz w:val="19"/>
                <w:szCs w:val="19"/>
              </w:rPr>
              <w:t xml:space="preserve">0</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windows-endpoint (Windows 11 Pro)</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High</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val="false"/>
                <w:bCs w:val="false"/>
                <w:color w:val="000000"/>
                <w:sz w:val="19"/>
                <w:szCs w:val="19"/>
              </w:rPr>
              <w:t xml:space="preserve">13</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val="false"/>
                <w:bCs w:val="false"/>
                <w:color w:val="000000"/>
                <w:sz w:val="19"/>
                <w:szCs w:val="19"/>
              </w:rPr>
              <w:t xml:space="preserve">0</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val="false"/>
                <w:bCs w:val="false"/>
                <w:color w:val="000000"/>
                <w:sz w:val="19"/>
                <w:szCs w:val="19"/>
              </w:rPr>
              <w:t xml:space="preserve">6</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val="false"/>
                <w:bCs w:val="false"/>
                <w:color w:val="000000"/>
                <w:sz w:val="19"/>
                <w:szCs w:val="19"/>
              </w:rPr>
              <w:t xml:space="preserve">7</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val="false"/>
                <w:bCs w:val="false"/>
                <w:color w:val="000000"/>
                <w:sz w:val="19"/>
                <w:szCs w:val="19"/>
              </w:rPr>
              <w:t xml:space="preserve">0</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val="false"/>
                <w:bCs w:val="false"/>
                <w:color w:val="000000"/>
                <w:sz w:val="19"/>
                <w:szCs w:val="19"/>
              </w:rPr>
              <w:t xml:space="preserve">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val="false"/>
                <w:bCs w:val="false"/>
                <w:color w:val="000000"/>
                <w:sz w:val="19"/>
                <w:szCs w:val="19"/>
              </w:rPr>
              <w:t xml:space="preserve">1</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Total</w:t>
            </w:r>
          </w:p>
        </w:tc>
        <w:tc>
          <w:tcPr>
            <w:tcW w:type="dxa" w:w="10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val="false"/>
                <w:bCs w:val="false"/>
                <w:color w:val="000000"/>
                <w:sz w:val="19"/>
                <w:szCs w:val="19"/>
              </w:rPr>
              <w:t xml:space="preserve">6,420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val="false"/>
                <w:bCs w:val="false"/>
                <w:color w:val="000000"/>
                <w:sz w:val="19"/>
                <w:szCs w:val="19"/>
              </w:rPr>
              <w:t xml:space="preserve">371</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val="false"/>
                <w:bCs w:val="false"/>
                <w:color w:val="000000"/>
                <w:sz w:val="19"/>
                <w:szCs w:val="19"/>
              </w:rPr>
              <w:t xml:space="preserve">2,213</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val="false"/>
                <w:bCs w:val="false"/>
                <w:color w:val="000000"/>
                <w:sz w:val="19"/>
                <w:szCs w:val="19"/>
              </w:rPr>
              <w:t xml:space="preserve">2,390</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val="false"/>
                <w:bCs w:val="false"/>
                <w:color w:val="000000"/>
                <w:sz w:val="19"/>
                <w:szCs w:val="19"/>
              </w:rPr>
              <w:t xml:space="preserve">41</w:t>
            </w:r>
          </w:p>
        </w:tc>
        <w:tc>
          <w:tcPr>
            <w:tcW w:type="dxa" w:w="95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val="false"/>
                <w:bCs w:val="false"/>
                <w:color w:val="000000"/>
                <w:sz w:val="19"/>
                <w:szCs w:val="19"/>
              </w:rPr>
              <w:t xml:space="preserve">1,405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val="false"/>
                <w:bCs w:val="false"/>
                <w:color w:val="000000"/>
                <w:sz w:val="19"/>
                <w:szCs w:val="19"/>
              </w:rPr>
              <w:t xml:space="preserve">1</w:t>
            </w:r>
          </w:p>
        </w:tc>
      </w:tr>
    </w:tbl>
    <w:p>
      <w:pPr>
        <w:spacing w:after="40"/>
      </w:pPr>
      <w:r>
        <w:rPr>
          <w:rFonts w:ascii="Arial" w:cs="Arial" w:eastAsia="Arial" w:hAnsi="Arial"/>
          <w:sz w:val="22"/>
          <w:szCs w:val="22"/>
        </w:rPr>
        <w:t xml:space="preserve"/>
      </w:r>
    </w:p>
    <w:p>
      <w:pPr>
        <w:spacing w:after="60"/>
      </w:pPr>
      <w:r>
        <w:rPr>
          <w:rFonts w:ascii="Arial" w:cs="Arial" w:eastAsia="Arial" w:hAnsi="Arial"/>
          <w:sz w:val="22"/>
          <w:szCs w:val="22"/>
        </w:rPr>
        <w:t xml:space="preserve">Three observations shaped the triage. First, 6,368 of the Linux findings (99%) sit in two kernel packages, one of which (5.15.0-187) was installed but not running. Second, Windows was fully patched with zero findings at baseline; an outdated Notepad++ 7.8.9 was installed deliberately to exercise the Windows detection path and produced 13 findings, including the only CISA KEV entry in the estate. Third, no upgrade exists for the running kernel 5.15.0-191, so its 1,284 High/Critical CVEs are already backported or unfixed upstream and were flagged as not actionable.</w:t>
      </w:r>
    </w:p>
    <w:p>
      <w:pPr>
        <w:spacing w:after="40"/>
        <w:jc w:val="center"/>
      </w:pPr>
      <w:r>
        <w:drawing>
          <wp:inline distT="0" distB="0" distL="0" distR="0">
            <wp:extent cx="22860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86000" cy="647700"/>
                    </a:xfrm>
                    <a:prstGeom prst="rect">
                      <a:avLst/>
                    </a:prstGeom>
                  </pic:spPr>
                </pic:pic>
              </a:graphicData>
            </a:graphic>
          </wp:inline>
        </w:drawing>
      </w:r>
    </w:p>
    <w:p>
      <w:pPr>
        <w:spacing w:after="120"/>
        <w:jc w:val="center"/>
      </w:pPr>
      <w:r>
        <w:rPr>
          <w:rFonts w:ascii="Arial" w:cs="Arial" w:eastAsia="Arial" w:hAnsi="Arial"/>
          <w:i/>
          <w:iCs/>
          <w:color w:val="555555"/>
          <w:sz w:val="18"/>
          <w:szCs w:val="18"/>
        </w:rPr>
        <w:t xml:space="preserve">Figure 1. Baseline Wazuh overview for linux-endpoint: 6,402 findings, dominated by two kernel packages.</w:t>
      </w:r>
    </w:p>
    <w:p>
      <w:pPr>
        <w:pStyle w:val="Heading2"/>
        <w:spacing w:after="40" w:before="120"/>
      </w:pPr>
      <w:r>
        <w:rPr>
          <w:rFonts w:ascii="Arial" w:cs="Arial" w:eastAsia="Arial" w:hAnsi="Arial"/>
          <w:b/>
          <w:bCs/>
          <w:color w:val="1F3864"/>
          <w:sz w:val="28"/>
          <w:szCs w:val="28"/>
        </w:rPr>
        <w:t xml:space="preserve">4. How it was prioritized</w:t>
      </w:r>
    </w:p>
    <w:p>
      <w:pPr>
        <w:spacing w:after="60"/>
      </w:pPr>
      <w:r>
        <w:rPr>
          <w:rFonts w:ascii="Arial" w:cs="Arial" w:eastAsia="Arial" w:hAnsi="Arial"/>
          <w:sz w:val="22"/>
          <w:szCs w:val="22"/>
        </w:rPr>
        <w:t xml:space="preserve">Every High/Critical finding was scored on three inputs: NVD CVSS v3.1 base score (fetched by kev_crossref.py), presence in the CISA KEV catalog (1,713 CVEs, downloaded 17 Sep 2026), and asset criticality from the asset inventory. The rule: P1 if in KEV on a High or Medium asset, or CVSS 9.0+ on a High asset; P2 if CVSS 7.0+ on any non-Low asset; P3 otherwise. Kernel packages were tiered as groups because every CVE in a package shares one fix.</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1900"/>
        <w:gridCol w:w="900"/>
        <w:gridCol w:w="600"/>
        <w:gridCol w:w="3300"/>
      </w:tblGrid>
      <w:tr>
        <w:tc>
          <w:tcPr>
            <w:tcW w:type="dxa" w:w="6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Arial" w:cs="Arial" w:eastAsia="Arial" w:hAnsi="Arial"/>
                <w:b/>
                <w:bCs/>
                <w:color w:val="FFFFFF"/>
                <w:sz w:val="19"/>
                <w:szCs w:val="19"/>
              </w:rPr>
              <w:t xml:space="preserve">Tier</w:t>
            </w:r>
          </w:p>
        </w:tc>
        <w:tc>
          <w:tcPr>
            <w:tcW w:type="dxa" w:w="25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Arial" w:cs="Arial" w:eastAsia="Arial" w:hAnsi="Arial"/>
                <w:b/>
                <w:bCs/>
                <w:color w:val="FFFFFF"/>
                <w:sz w:val="19"/>
                <w:szCs w:val="19"/>
              </w:rPr>
              <w:t xml:space="preserve">Finding</w:t>
            </w:r>
          </w:p>
        </w:tc>
        <w:tc>
          <w:tcPr>
            <w:tcW w:type="dxa" w:w="19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Arial" w:cs="Arial" w:eastAsia="Arial" w:hAnsi="Arial"/>
                <w:b/>
                <w:bCs/>
                <w:color w:val="FFFFFF"/>
                <w:sz w:val="19"/>
                <w:szCs w:val="19"/>
              </w:rPr>
              <w:t xml:space="preserve">Asset</w:t>
            </w:r>
          </w:p>
        </w:tc>
        <w:tc>
          <w:tcPr>
            <w:tcW w:type="dxa" w:w="9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Arial" w:cs="Arial" w:eastAsia="Arial" w:hAnsi="Arial"/>
                <w:b/>
                <w:bCs/>
                <w:color w:val="FFFFFF"/>
                <w:sz w:val="19"/>
                <w:szCs w:val="19"/>
              </w:rPr>
              <w:t xml:space="preserve">CVSS</w:t>
            </w:r>
          </w:p>
        </w:tc>
        <w:tc>
          <w:tcPr>
            <w:tcW w:type="dxa" w:w="6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Arial" w:cs="Arial" w:eastAsia="Arial" w:hAnsi="Arial"/>
                <w:b/>
                <w:bCs/>
                <w:color w:val="FFFFFF"/>
                <w:sz w:val="19"/>
                <w:szCs w:val="19"/>
              </w:rPr>
              <w:t xml:space="preserve">KEV</w:t>
            </w:r>
          </w:p>
        </w:tc>
        <w:tc>
          <w:tcPr>
            <w:tcW w:type="dxa" w:w="33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Arial" w:cs="Arial" w:eastAsia="Arial" w:hAnsi="Arial"/>
                <w:b/>
                <w:bCs/>
                <w:color w:val="FFFFFF"/>
                <w:sz w:val="19"/>
                <w:szCs w:val="19"/>
              </w:rPr>
              <w:t xml:space="preserve">Justification</w:t>
            </w:r>
          </w:p>
        </w:tc>
      </w:tr>
      <w:t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P1</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CVE-2025-15556, Notepad++ 7.8.9</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windows-endpoint (High)</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7.5</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Yes</w:t>
            </w:r>
          </w:p>
        </w:tc>
        <w:tc>
          <w:tcPr>
            <w:tcW w:type="dxa" w:w="3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Only KEV item in the estate, on the user-operated workstation: exploited in the wild plus user-facing asset.</w:t>
            </w:r>
          </w:p>
        </w:tc>
      </w:tr>
      <w:t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P2</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5 further Notepad++ CVEs</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windows-endpoint (High)</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7.3 to 7.8</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No</w:t>
            </w:r>
          </w:p>
        </w:tc>
        <w:tc>
          <w:tcPr>
            <w:tcW w:type="dxa" w:w="3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Same upgrade clears all of them.</w:t>
            </w:r>
          </w:p>
        </w:tc>
      </w:tr>
      <w:t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P2</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CVE-2025-54289, LXD 5.0.9</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linux-endpoint (Medium)</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8.1</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No</w:t>
            </w:r>
          </w:p>
        </w:tc>
        <w:tc>
          <w:tcPr>
            <w:tcW w:type="dxa" w:w="3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Privilege escalation, but LXD unused and API not exposed.</w:t>
            </w:r>
          </w:p>
        </w:tc>
      </w:tr>
      <w:t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P2</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CVE-2026-15308, python3.10</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linux-endpoint (Medium)</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7.5</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No</w:t>
            </w:r>
          </w:p>
        </w:tc>
        <w:tc>
          <w:tcPr>
            <w:tcW w:type="dxa" w:w="3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DoS only on untrusted HTML; security update available.</w:t>
            </w:r>
          </w:p>
        </w:tc>
      </w:tr>
      <w:t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P2</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Kernel 5.15.0-187 (1,288 High/Crit)</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linux-endpoint (Medium)</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10.0</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No</w:t>
            </w:r>
          </w:p>
        </w:tc>
        <w:tc>
          <w:tcPr>
            <w:tcW w:type="dxa" w:w="3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Not the running kernel; zero-risk removal clears 3,186 findings.</w:t>
            </w:r>
          </w:p>
        </w:tc>
      </w:tr>
      <w:t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P2</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Kernel 5.15.0-191 (1,284 High/Crit)</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linux-endpoint (Medium)</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10.0</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No</w:t>
            </w:r>
          </w:p>
        </w:tc>
        <w:tc>
          <w:tcPr>
            <w:tcW w:type="dxa" w:w="3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Running kernel, already newest available; accepted risk, monitor.</w:t>
            </w:r>
          </w:p>
        </w:tc>
      </w:tr>
      <w:tr>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P3</w:t>
            </w:r>
          </w:p>
        </w:tc>
        <w:tc>
          <w:tcPr>
            <w:tcW w:type="dxa" w:w="2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CVE-2023-6401, Notepad++</w:t>
            </w:r>
          </w:p>
        </w:tc>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windows-endpoint (High)</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5.3</w:t>
            </w:r>
          </w:p>
        </w:tc>
        <w:tc>
          <w:tcPr>
            <w:tcW w:type="dxa" w:w="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No</w:t>
            </w:r>
          </w:p>
        </w:tc>
        <w:tc>
          <w:tcPr>
            <w:tcW w:type="dxa" w:w="3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Wazuh labels High, NVD scores 5.3; tier follows the number.</w:t>
            </w:r>
          </w:p>
        </w:tc>
      </w:tr>
    </w:tbl>
    <w:p>
      <w:pPr>
        <w:spacing w:after="40"/>
      </w:pPr>
      <w:r>
        <w:rPr>
          <w:rFonts w:ascii="Arial" w:cs="Arial" w:eastAsia="Arial" w:hAnsi="Arial"/>
          <w:sz w:val="22"/>
          <w:szCs w:val="22"/>
        </w:rPr>
        <w:t xml:space="preserve"/>
      </w:r>
    </w:p>
    <w:p>
      <w:pPr>
        <w:pStyle w:val="Heading2"/>
        <w:spacing w:after="40" w:before="120"/>
      </w:pPr>
      <w:r>
        <w:rPr>
          <w:rFonts w:ascii="Arial" w:cs="Arial" w:eastAsia="Arial" w:hAnsi="Arial"/>
          <w:b/>
          <w:bCs/>
          <w:color w:val="1F3864"/>
          <w:sz w:val="28"/>
          <w:szCs w:val="28"/>
        </w:rPr>
        <w:t xml:space="preserve">5. What was fixed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900"/>
      </w:tblGrid>
      <w:tr>
        <w:tc>
          <w:tcPr>
            <w:tcW w:type="dxa" w:w="26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Arial" w:cs="Arial" w:eastAsia="Arial" w:hAnsi="Arial"/>
                <w:b/>
                <w:bCs/>
                <w:color w:val="FFFFFF"/>
                <w:sz w:val="19"/>
                <w:szCs w:val="19"/>
              </w:rPr>
              <w:t xml:space="preserve">Fix</w:t>
            </w:r>
          </w:p>
        </w:tc>
        <w:tc>
          <w:tcPr>
            <w:tcW w:type="dxa" w:w="42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Arial" w:cs="Arial" w:eastAsia="Arial" w:hAnsi="Arial"/>
                <w:b/>
                <w:bCs/>
                <w:color w:val="FFFFFF"/>
                <w:sz w:val="19"/>
                <w:szCs w:val="19"/>
              </w:rPr>
              <w:t xml:space="preserve">Action taken</w:t>
            </w:r>
          </w:p>
        </w:tc>
        <w:tc>
          <w:tcPr>
            <w:tcW w:type="dxa" w:w="29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Arial" w:cs="Arial" w:eastAsia="Arial" w:hAnsi="Arial"/>
                <w:b/>
                <w:bCs/>
                <w:color w:val="FFFFFF"/>
                <w:sz w:val="19"/>
                <w:szCs w:val="19"/>
              </w:rPr>
              <w:t xml:space="preserve">Verification</w:t>
            </w:r>
          </w:p>
        </w:tc>
      </w:tr>
      <w:t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P1: Notepad++ (all 6 High + 7 Medium CVEs)</w:t>
            </w:r>
          </w:p>
        </w:tc>
        <w:tc>
          <w:tcPr>
            <w:tcW w:type="dxa" w:w="4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Upgraded 7.8.9 to 8.9.8 (native ARM64 build) via silent installer; confirmed old 32-bit install fully replaced in registry.</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Windows findings 13 to 0 after agent re-scan.</w:t>
            </w:r>
          </w:p>
        </w:tc>
      </w:tr>
      <w:t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P2: Unused kernel 5.15.0-187</w:t>
            </w:r>
          </w:p>
        </w:tc>
        <w:tc>
          <w:tcPr>
            <w:tcW w:type="dxa" w:w="4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apt remove linux-image-5.15.0-187-generic and the unsigned variant; apt autoremove.</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Package absent from dpkg and from Wazuh inventory; 3,186 findings cleared.</w:t>
            </w:r>
          </w:p>
        </w:tc>
      </w:tr>
      <w:t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P2: python3.10 CVE-2026-15308</w:t>
            </w:r>
          </w:p>
        </w:tc>
        <w:tc>
          <w:tcPr>
            <w:tcW w:type="dxa" w:w="4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apt install --only-upgrade to 3.10.12-1~22.04.18 (jammy-security).</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5 findings cleared.</w:t>
            </w:r>
          </w:p>
        </w:tc>
      </w:tr>
      <w:t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P2: LXD CVE-2025-54289</w:t>
            </w:r>
          </w:p>
        </w:tc>
        <w:tc>
          <w:tcPr>
            <w:tcW w:type="dxa" w:w="4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snap refresh reported no update; LXD removed as unused attack surface (compensating control).</w:t>
            </w:r>
          </w:p>
        </w:tc>
        <w:tc>
          <w:tcPr>
            <w:tcW w:type="dxa" w:w="29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11 findings cleared.</w:t>
            </w:r>
          </w:p>
        </w:tc>
      </w:tr>
    </w:tbl>
    <w:p>
      <w:pPr>
        <w:spacing w:after="40"/>
      </w:pPr>
      <w:r>
        <w:rPr>
          <w:rFonts w:ascii="Arial" w:cs="Arial" w:eastAsia="Arial" w:hAnsi="Arial"/>
          <w:sz w:val="22"/>
          <w:szCs w:val="22"/>
        </w:rPr>
        <w:t xml:space="preserve"/>
      </w:r>
    </w:p>
    <w:p>
      <w:pPr>
        <w:spacing w:after="40"/>
        <w:jc w:val="center"/>
      </w:pPr>
      <w:r>
        <w:drawing>
          <wp:inline distT="0" distB="0" distL="0" distR="0">
            <wp:extent cx="24765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542925"/>
                    </a:xfrm>
                    <a:prstGeom prst="rect">
                      <a:avLst/>
                    </a:prstGeom>
                  </pic:spPr>
                </pic:pic>
              </a:graphicData>
            </a:graphic>
          </wp:inline>
        </w:drawing>
      </w:r>
    </w:p>
    <w:p>
      <w:pPr>
        <w:spacing w:after="120"/>
        <w:jc w:val="center"/>
      </w:pPr>
      <w:r>
        <w:rPr>
          <w:rFonts w:ascii="Arial" w:cs="Arial" w:eastAsia="Arial" w:hAnsi="Arial"/>
          <w:i/>
          <w:iCs/>
          <w:color w:val="555555"/>
          <w:sz w:val="18"/>
          <w:szCs w:val="18"/>
        </w:rPr>
        <w:t xml:space="preserve">Figure 2. Before: 13 Notepad++ 7.8.9 findings on windows-endpoint, including the KEV-listed CVE-2025-15556.</w:t>
      </w:r>
    </w:p>
    <w:p>
      <w:pPr>
        <w:spacing w:after="40"/>
        <w:jc w:val="center"/>
      </w:pPr>
      <w:r>
        <w:drawing>
          <wp:inline distT="0" distB="0" distL="0" distR="0">
            <wp:extent cx="24765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619125"/>
                    </a:xfrm>
                    <a:prstGeom prst="rect">
                      <a:avLst/>
                    </a:prstGeom>
                  </pic:spPr>
                </pic:pic>
              </a:graphicData>
            </a:graphic>
          </wp:inline>
        </w:drawing>
      </w:r>
    </w:p>
    <w:p>
      <w:pPr>
        <w:spacing w:after="120"/>
        <w:jc w:val="center"/>
      </w:pPr>
      <w:r>
        <w:rPr>
          <w:rFonts w:ascii="Arial" w:cs="Arial" w:eastAsia="Arial" w:hAnsi="Arial"/>
          <w:i/>
          <w:iCs/>
          <w:color w:val="555555"/>
          <w:sz w:val="18"/>
          <w:szCs w:val="18"/>
        </w:rPr>
        <w:t xml:space="preserve">Figure 3. After: estate reduced to 3,182 findings, all in the running kernel; windows-endpoint no longer appears.</w:t>
      </w:r>
    </w:p>
    <w:p>
      <w:pPr>
        <w:pStyle w:val="Heading2"/>
        <w:spacing w:after="40" w:before="120"/>
      </w:pPr>
      <w:r>
        <w:rPr>
          <w:rFonts w:ascii="Arial" w:cs="Arial" w:eastAsia="Arial" w:hAnsi="Arial"/>
          <w:b/>
          <w:bCs/>
          <w:color w:val="1F3864"/>
          <w:sz w:val="28"/>
          <w:szCs w:val="28"/>
        </w:rPr>
        <w:t xml:space="preserve">6. What remains and next steps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200"/>
        <w:gridCol w:w="4500"/>
      </w:tblGrid>
      <w:tr>
        <w:tc>
          <w:tcPr>
            <w:tcW w:type="dxa" w:w="23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Arial" w:cs="Arial" w:eastAsia="Arial" w:hAnsi="Arial"/>
                <w:b/>
                <w:bCs/>
                <w:color w:val="FFFFFF"/>
                <w:sz w:val="19"/>
                <w:szCs w:val="19"/>
              </w:rPr>
              <w:t xml:space="preserve">Endpoint</w:t>
            </w:r>
          </w:p>
        </w:tc>
        <w:tc>
          <w:tcPr>
            <w:tcW w:type="dxa" w:w="12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Arial" w:cs="Arial" w:eastAsia="Arial" w:hAnsi="Arial"/>
                <w:b/>
                <w:bCs/>
                <w:color w:val="FFFFFF"/>
                <w:sz w:val="19"/>
                <w:szCs w:val="19"/>
              </w:rPr>
              <w:t xml:space="preserve">Before</w:t>
            </w:r>
          </w:p>
        </w:tc>
        <w:tc>
          <w:tcPr>
            <w:tcW w:type="dxa" w:w="12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Arial" w:cs="Arial" w:eastAsia="Arial" w:hAnsi="Arial"/>
                <w:b/>
                <w:bCs/>
                <w:color w:val="FFFFFF"/>
                <w:sz w:val="19"/>
                <w:szCs w:val="19"/>
              </w:rPr>
              <w:t xml:space="preserve">After</w:t>
            </w:r>
          </w:p>
        </w:tc>
        <w:tc>
          <w:tcPr>
            <w:tcW w:type="dxa" w:w="45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pPr>
              <w:jc w:val="left"/>
            </w:pPr>
            <w:r>
              <w:rPr>
                <w:rFonts w:ascii="Arial" w:cs="Arial" w:eastAsia="Arial" w:hAnsi="Arial"/>
                <w:b/>
                <w:bCs/>
                <w:color w:val="FFFFFF"/>
                <w:sz w:val="19"/>
                <w:szCs w:val="19"/>
              </w:rPr>
              <w:t xml:space="preserve">Remaining</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linux-endpoint</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val="false"/>
                <w:bCs w:val="false"/>
                <w:color w:val="000000"/>
                <w:sz w:val="19"/>
                <w:szCs w:val="19"/>
              </w:rPr>
              <w:t xml:space="preserve">6,407</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val="false"/>
                <w:bCs w:val="false"/>
                <w:color w:val="000000"/>
                <w:sz w:val="19"/>
                <w:szCs w:val="19"/>
              </w:rPr>
              <w:t xml:space="preserve">3,182</w:t>
            </w:r>
          </w:p>
        </w:tc>
        <w:tc>
          <w:tcPr>
            <w:tcW w:type="dxa" w:w="4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Running kernel 5.15.0-191 only</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windows-endpoint</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val="false"/>
                <w:bCs w:val="false"/>
                <w:color w:val="000000"/>
                <w:sz w:val="19"/>
                <w:szCs w:val="19"/>
              </w:rPr>
              <w:t xml:space="preserve">13</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val="false"/>
                <w:bCs w:val="false"/>
                <w:color w:val="000000"/>
                <w:sz w:val="19"/>
                <w:szCs w:val="19"/>
              </w:rPr>
              <w:t xml:space="preserve">0</w:t>
            </w:r>
          </w:p>
        </w:tc>
        <w:tc>
          <w:tcPr>
            <w:tcW w:type="dxa" w:w="4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None</w:t>
            </w:r>
          </w:p>
        </w:tc>
      </w:tr>
      <w:tr>
        <w:tc>
          <w:tcPr>
            <w:tcW w:type="dxa" w:w="23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Total</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val="false"/>
                <w:bCs w:val="false"/>
                <w:color w:val="000000"/>
                <w:sz w:val="19"/>
                <w:szCs w:val="19"/>
              </w:rPr>
              <w:t xml:space="preserve">6,420</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rFonts w:ascii="Arial" w:cs="Arial" w:eastAsia="Arial" w:hAnsi="Arial"/>
                <w:b w:val="false"/>
                <w:bCs w:val="false"/>
                <w:color w:val="000000"/>
                <w:sz w:val="19"/>
                <w:szCs w:val="19"/>
              </w:rPr>
              <w:t xml:space="preserve">3,182</w:t>
            </w:r>
          </w:p>
        </w:tc>
        <w:tc>
          <w:tcPr>
            <w:tcW w:type="dxa" w:w="450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rFonts w:ascii="Arial" w:cs="Arial" w:eastAsia="Arial" w:hAnsi="Arial"/>
                <w:b w:val="false"/>
                <w:bCs w:val="false"/>
                <w:color w:val="000000"/>
                <w:sz w:val="19"/>
                <w:szCs w:val="19"/>
              </w:rPr>
              <w:t xml:space="preserve">50% reduction; 100% of P1 resolved</w:t>
            </w:r>
          </w:p>
        </w:tc>
      </w:tr>
    </w:tbl>
    <w:p>
      <w:pPr>
        <w:spacing w:after="40"/>
      </w:pPr>
      <w:r>
        <w:rPr>
          <w:rFonts w:ascii="Arial" w:cs="Arial" w:eastAsia="Arial" w:hAnsi="Arial"/>
          <w:sz w:val="22"/>
          <w:szCs w:val="22"/>
        </w:rPr>
        <w:t xml:space="preserve"/>
      </w:r>
    </w:p>
    <w:p>
      <w:pPr>
        <w:pStyle w:val="ListParagraph"/>
        <w:numPr>
          <w:ilvl w:val="0"/>
          <w:numId w:val="2"/>
        </w:numPr>
        <w:spacing w:after="40"/>
      </w:pPr>
      <w:r>
        <w:rPr>
          <w:rFonts w:ascii="Arial" w:cs="Arial" w:eastAsia="Arial" w:hAnsi="Arial"/>
          <w:sz w:val="22"/>
          <w:szCs w:val="22"/>
        </w:rPr>
        <w:t xml:space="preserve">Kernel 5.15.0-191: re-check apt weekly for a newer 5.15 build; evaluate moving to the Ubuntu HWE kernel (6.x) as a compensating measure. Until then this is accepted risk on a Medium, LAN-only asset.</w:t>
      </w:r>
    </w:p>
    <w:p>
      <w:pPr>
        <w:pStyle w:val="ListParagraph"/>
        <w:numPr>
          <w:ilvl w:val="0"/>
          <w:numId w:val="2"/>
        </w:numPr>
        <w:spacing w:after="40"/>
      </w:pPr>
      <w:r>
        <w:rPr>
          <w:rFonts w:ascii="Arial" w:cs="Arial" w:eastAsia="Arial" w:hAnsi="Arial"/>
          <w:sz w:val="22"/>
          <w:szCs w:val="22"/>
        </w:rPr>
        <w:t xml:space="preserve">Scanner severity vs NVD: CVE-2023-6401 shows Wazuh can over-rate; keep NVD CVSS in the workflow.</w:t>
      </w:r>
    </w:p>
    <w:p>
      <w:pPr>
        <w:pStyle w:val="ListParagraph"/>
        <w:numPr>
          <w:ilvl w:val="0"/>
          <w:numId w:val="2"/>
        </w:numPr>
        <w:spacing w:after="40"/>
      </w:pPr>
      <w:r>
        <w:rPr>
          <w:rFonts w:ascii="Arial" w:cs="Arial" w:eastAsia="Arial" w:hAnsi="Arial"/>
          <w:sz w:val="22"/>
          <w:szCs w:val="22"/>
        </w:rPr>
        <w:t xml:space="preserve">Coverage gap: agent-based detection only sees installed packages, not network or config weaknesses; an active scanner such as Greenbone is the natural complement.</w:t>
      </w:r>
    </w:p>
    <w:p>
      <w:pPr>
        <w:pStyle w:val="ListParagraph"/>
        <w:numPr>
          <w:ilvl w:val="0"/>
          <w:numId w:val="2"/>
        </w:numPr>
        <w:spacing w:after="40"/>
      </w:pPr>
      <w:r>
        <w:rPr>
          <w:rFonts w:ascii="Arial" w:cs="Arial" w:eastAsia="Arial" w:hAnsi="Arial"/>
          <w:sz w:val="22"/>
          <w:szCs w:val="22"/>
        </w:rPr>
        <w:t xml:space="preserve">Process: export, KEV cross-reference and CVSS enrichment are scripted (kev_crossref.py); the cycle repeats weekly in under 30 minutes. Full evidence is in the project repository.</w:t>
      </w:r>
    </w:p>
    <w:sectPr>
      <w:pgSz w:w="12240" w:h="15840" w:orient="portrait"/>
      <w:pgMar w:top="720" w:right="864" w:bottom="72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18760453e466dca4a9da601be26540afc29fba4.png"/><Relationship Id="rId8" Type="http://schemas.openxmlformats.org/officeDocument/2006/relationships/image" Target="media/045a1da303140d2f9c19cdfd89b0598f46a9aaa1.png"/><Relationship Id="rId9" Type="http://schemas.openxmlformats.org/officeDocument/2006/relationships/image" Target="media/c0b34d658c91be8ea7612c5ac223d41d84892e3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2026-09-17T11:17:58.764Z</dcterms:created>
  <dcterms:modified xsi:type="dcterms:W3CDTF">2026-09-17T11:17:58.772Z</dcterms:modified>
</cp:coreProperties>
</file>

<file path=docProps/custom.xml><?xml version="1.0" encoding="utf-8"?>
<Properties xmlns="http://schemas.openxmlformats.org/officeDocument/2006/custom-properties" xmlns:vt="http://schemas.openxmlformats.org/officeDocument/2006/docPropsVTypes"/>
</file>