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ENTERPRISE DATA AND AI</w:t>
        <w:br/>
        <w:t>CAPABILITY BENCHMARK</w:t>
      </w:r>
    </w:p>
    <w:p>
      <w:pPr>
        <w:jc w:val="center"/>
      </w:pPr>
      <w:r>
        <w:rPr>
          <w:i/>
          <w:sz w:val="30"/>
        </w:rPr>
        <w:t>A 24-Index Comparative Assessment of SAP, Oracle, Microsoft, Salesforce, and Mimir Labs</w:t>
      </w:r>
    </w:p>
    <w:p>
      <w:pPr>
        <w:jc w:val="center"/>
      </w:pPr>
      <w:r>
        <w:rPr>
          <w:sz w:val="22"/>
        </w:rPr>
        <w:br/>
        <w:t>Version 1.0 | July 30, 2026</w:t>
      </w:r>
    </w:p>
    <w:p>
      <w:pPr>
        <w:jc w:val="center"/>
      </w:pPr>
      <w:r>
        <w:drawing>
          <wp:inline xmlns:a="http://schemas.openxmlformats.org/drawingml/2006/main" xmlns:pic="http://schemas.openxmlformats.org/drawingml/2006/picture">
            <wp:extent cx="5623560" cy="5548884"/>
            <wp:docPr id="1" name="Picture 1"/>
            <wp:cNvGraphicFramePr>
              <a:graphicFrameLocks noChangeAspect="1"/>
            </wp:cNvGraphicFramePr>
            <a:graphic>
              <a:graphicData uri="http://schemas.openxmlformats.org/drawingml/2006/picture">
                <pic:pic>
                  <pic:nvPicPr>
                    <pic:cNvPr id="0" name="enterprise_data_ai_spider_20_point.png"/>
                    <pic:cNvPicPr/>
                  </pic:nvPicPr>
                  <pic:blipFill>
                    <a:blip r:embed="rId9"/>
                    <a:stretch>
                      <a:fillRect/>
                    </a:stretch>
                  </pic:blipFill>
                  <pic:spPr>
                    <a:xfrm>
                      <a:off x="0" y="0"/>
                      <a:ext cx="5623560" cy="5548884"/>
                    </a:xfrm>
                    <a:prstGeom prst="rect"/>
                  </pic:spPr>
                </pic:pic>
              </a:graphicData>
            </a:graphic>
          </wp:inline>
        </w:drawing>
      </w:r>
    </w:p>
    <w:p>
      <w:pPr>
        <w:spacing w:after="0"/>
        <w:jc w:val="center"/>
      </w:pPr>
      <w:r>
        <w:rPr>
          <w:i/>
          <w:sz w:val="16"/>
        </w:rPr>
        <w:t>Prepared as an analytical comparison. Scores are directional judgments, not vendor-certified benchmarks.</w:t>
      </w:r>
    </w:p>
    <w:p>
      <w:r>
        <w:br w:type="page"/>
      </w:r>
    </w:p>
    <w:p>
      <w:pPr>
        <w:pStyle w:val="Heading1"/>
      </w:pPr>
      <w:r>
        <w:t>Executive Summary</w:t>
      </w:r>
    </w:p>
    <w:p>
      <w:r>
        <w:t>This paper compares five enterprise technology vendors across 24 functional conditions spanning enterprise data, ERP operations, artificial intelligence, governance and execution control. Each condition is scored from 0 to 20 using a common rubric. The assessment measures whether a vendor's native architecture satisfies the function, not the vendor's revenue, implementation workforce or installed base.</w:t>
      </w:r>
    </w:p>
    <w:p>
      <w:r>
        <w:t>The resulting profile does not show Mimir Labs dominating every category. SAP and Oracle retain decisive advantages in ERP transaction depth, global process coverage, integration ecosystems and deployed operational maturity. Microsoft leads broad data discovery, lineage, identity and general agent-platform capability. Salesforce leads packaged customer-domain agent workflows. Mimir Labs' differentiation is concentrated in canonical semantics, strict schema governance, pre-write policy enforcement, state-transition validation, immutable operational auditability and deterministic execution.</w:t>
      </w:r>
    </w:p>
    <w:p>
      <w:r>
        <w:t>That distinction matters. Incumbents increasingly govern agents inside their own application boundaries. Oracle's 2026 AI-native Fusion announcements explicitly state that agents execute against Fusion business objects and workflows while inheriting security, approvals, governance and audit controls. SAP, Microsoft and Salesforce likewise provide increasingly serious governance. The defensible Mimir Labs claim is therefore not that incumbents lack governance. It is that Mimir Labs treats a canonical operational substrate and deterministic admissibility at commit as the primary product architecture, rather than as controls distributed across an application portfolio.</w:t>
      </w:r>
    </w:p>
    <w:p>
      <w:r>
        <w:t>The benchmark should be treated as a falsifiable analytical model. Its value lies in the explicit criteria and score explanations, which can be revised as product evidence changes.</w:t>
      </w:r>
    </w:p>
    <w:p>
      <w:pPr>
        <w:pStyle w:val="Heading1"/>
      </w:pPr>
      <w:r>
        <w:t>1. Methodology</w:t>
      </w:r>
    </w:p>
    <w:p>
      <w:pPr>
        <w:pStyle w:val="Heading2"/>
      </w:pPr>
      <w:r>
        <w:t>1.1 Scoring rubric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r/>
            <w:r>
              <w:rPr>
                <w:b/>
                <w:color w:val="FFFFFF"/>
                <w:sz w:val="16"/>
              </w:rPr>
              <w:t>Score</w:t>
            </w:r>
          </w:p>
        </w:tc>
        <w:tc>
          <w:tcPr>
            <w:tcW w:type="dxa" w:w="3360"/>
            <w:vAlign w:val="center"/>
            <w:shd w:fill="17365D"/>
          </w:tcPr>
          <w:p>
            <w:r/>
            <w:r>
              <w:rPr>
                <w:b/>
                <w:color w:val="FFFFFF"/>
                <w:sz w:val="16"/>
              </w:rPr>
              <w:t>Level</w:t>
            </w:r>
          </w:p>
        </w:tc>
        <w:tc>
          <w:tcPr>
            <w:tcW w:type="dxa" w:w="3360"/>
            <w:vAlign w:val="center"/>
            <w:shd w:fill="17365D"/>
          </w:tcPr>
          <w:p>
            <w:r/>
            <w:r>
              <w:rPr>
                <w:b/>
                <w:color w:val="FFFFFF"/>
                <w:sz w:val="16"/>
              </w:rPr>
              <w:t>Interpretation</w:t>
            </w:r>
          </w:p>
        </w:tc>
      </w:tr>
      <w:tr>
        <w:tc>
          <w:tcPr>
            <w:tcW w:type="dxa" w:w="3360"/>
            <w:vAlign w:val="center"/>
          </w:tcPr>
          <w:p>
            <w:r/>
            <w:r>
              <w:rPr>
                <w:b w:val="0"/>
                <w:sz w:val="16"/>
              </w:rPr>
              <w:t>0-3</w:t>
            </w:r>
          </w:p>
        </w:tc>
        <w:tc>
          <w:tcPr>
            <w:tcW w:type="dxa" w:w="3360"/>
            <w:vAlign w:val="center"/>
          </w:tcPr>
          <w:p>
            <w:r/>
            <w:r>
              <w:rPr>
                <w:b w:val="0"/>
                <w:sz w:val="16"/>
              </w:rPr>
              <w:t>Absent or incidental</w:t>
            </w:r>
          </w:p>
        </w:tc>
        <w:tc>
          <w:tcPr>
            <w:tcW w:type="dxa" w:w="3360"/>
            <w:vAlign w:val="center"/>
          </w:tcPr>
          <w:p>
            <w:r/>
            <w:r>
              <w:rPr>
                <w:b w:val="0"/>
                <w:sz w:val="16"/>
              </w:rPr>
              <w:t>No meaningful native capability; substantial custom development required.</w:t>
            </w:r>
          </w:p>
        </w:tc>
      </w:tr>
      <w:tr>
        <w:tc>
          <w:tcPr>
            <w:tcW w:type="dxa" w:w="3360"/>
            <w:vAlign w:val="center"/>
          </w:tcPr>
          <w:p>
            <w:r/>
            <w:r>
              <w:rPr>
                <w:b w:val="0"/>
                <w:sz w:val="16"/>
              </w:rPr>
              <w:t>4-7</w:t>
            </w:r>
          </w:p>
        </w:tc>
        <w:tc>
          <w:tcPr>
            <w:tcW w:type="dxa" w:w="3360"/>
            <w:vAlign w:val="center"/>
          </w:tcPr>
          <w:p>
            <w:r/>
            <w:r>
              <w:rPr>
                <w:b w:val="0"/>
                <w:sz w:val="16"/>
              </w:rPr>
              <w:t>Limited</w:t>
            </w:r>
          </w:p>
        </w:tc>
        <w:tc>
          <w:tcPr>
            <w:tcW w:type="dxa" w:w="3360"/>
            <w:vAlign w:val="center"/>
          </w:tcPr>
          <w:p>
            <w:r/>
            <w:r>
              <w:rPr>
                <w:b w:val="0"/>
                <w:sz w:val="16"/>
              </w:rPr>
              <w:t>Narrow, immature or highly dependent on external products.</w:t>
            </w:r>
          </w:p>
        </w:tc>
      </w:tr>
      <w:tr>
        <w:tc>
          <w:tcPr>
            <w:tcW w:type="dxa" w:w="3360"/>
            <w:vAlign w:val="center"/>
          </w:tcPr>
          <w:p>
            <w:r/>
            <w:r>
              <w:rPr>
                <w:b w:val="0"/>
                <w:sz w:val="16"/>
              </w:rPr>
              <w:t>8-11</w:t>
            </w:r>
          </w:p>
        </w:tc>
        <w:tc>
          <w:tcPr>
            <w:tcW w:type="dxa" w:w="3360"/>
            <w:vAlign w:val="center"/>
          </w:tcPr>
          <w:p>
            <w:r/>
            <w:r>
              <w:rPr>
                <w:b w:val="0"/>
                <w:sz w:val="16"/>
              </w:rPr>
              <w:t>Partial</w:t>
            </w:r>
          </w:p>
        </w:tc>
        <w:tc>
          <w:tcPr>
            <w:tcW w:type="dxa" w:w="3360"/>
            <w:vAlign w:val="center"/>
          </w:tcPr>
          <w:p>
            <w:r/>
            <w:r>
              <w:rPr>
                <w:b w:val="0"/>
                <w:sz w:val="16"/>
              </w:rPr>
              <w:t>Useful capability, but material gaps in coverage, enforcement or maturity.</w:t>
            </w:r>
          </w:p>
        </w:tc>
      </w:tr>
      <w:tr>
        <w:tc>
          <w:tcPr>
            <w:tcW w:type="dxa" w:w="3360"/>
            <w:vAlign w:val="center"/>
          </w:tcPr>
          <w:p>
            <w:r/>
            <w:r>
              <w:rPr>
                <w:b w:val="0"/>
                <w:sz w:val="16"/>
              </w:rPr>
              <w:t>12-15</w:t>
            </w:r>
          </w:p>
        </w:tc>
        <w:tc>
          <w:tcPr>
            <w:tcW w:type="dxa" w:w="3360"/>
            <w:vAlign w:val="center"/>
          </w:tcPr>
          <w:p>
            <w:r/>
            <w:r>
              <w:rPr>
                <w:b w:val="0"/>
                <w:sz w:val="16"/>
              </w:rPr>
              <w:t>Strong</w:t>
            </w:r>
          </w:p>
        </w:tc>
        <w:tc>
          <w:tcPr>
            <w:tcW w:type="dxa" w:w="3360"/>
            <w:vAlign w:val="center"/>
          </w:tcPr>
          <w:p>
            <w:r/>
            <w:r>
              <w:rPr>
                <w:b w:val="0"/>
                <w:sz w:val="16"/>
              </w:rPr>
              <w:t>Credible native capability with limitations in breadth, consistency or deployment.</w:t>
            </w:r>
          </w:p>
        </w:tc>
      </w:tr>
      <w:tr>
        <w:tc>
          <w:tcPr>
            <w:tcW w:type="dxa" w:w="3360"/>
            <w:vAlign w:val="center"/>
          </w:tcPr>
          <w:p>
            <w:r/>
            <w:r>
              <w:rPr>
                <w:b w:val="0"/>
                <w:sz w:val="16"/>
              </w:rPr>
              <w:t>16-18</w:t>
            </w:r>
          </w:p>
        </w:tc>
        <w:tc>
          <w:tcPr>
            <w:tcW w:type="dxa" w:w="3360"/>
            <w:vAlign w:val="center"/>
          </w:tcPr>
          <w:p>
            <w:r/>
            <w:r>
              <w:rPr>
                <w:b w:val="0"/>
                <w:sz w:val="16"/>
              </w:rPr>
              <w:t>Very strong</w:t>
            </w:r>
          </w:p>
        </w:tc>
        <w:tc>
          <w:tcPr>
            <w:tcW w:type="dxa" w:w="3360"/>
            <w:vAlign w:val="center"/>
          </w:tcPr>
          <w:p>
            <w:r/>
            <w:r>
              <w:rPr>
                <w:b w:val="0"/>
                <w:sz w:val="16"/>
              </w:rPr>
              <w:t>Mature and broadly applicable; only bounded gaps remain.</w:t>
            </w:r>
          </w:p>
        </w:tc>
      </w:tr>
      <w:tr>
        <w:tc>
          <w:tcPr>
            <w:tcW w:type="dxa" w:w="3360"/>
            <w:vAlign w:val="center"/>
          </w:tcPr>
          <w:p>
            <w:r/>
            <w:r>
              <w:rPr>
                <w:b w:val="0"/>
                <w:sz w:val="16"/>
              </w:rPr>
              <w:t>19-20</w:t>
            </w:r>
          </w:p>
        </w:tc>
        <w:tc>
          <w:tcPr>
            <w:tcW w:type="dxa" w:w="3360"/>
            <w:vAlign w:val="center"/>
          </w:tcPr>
          <w:p>
            <w:r/>
            <w:r>
              <w:rPr>
                <w:b w:val="0"/>
                <w:sz w:val="16"/>
              </w:rPr>
              <w:t>Exceptional</w:t>
            </w:r>
          </w:p>
        </w:tc>
        <w:tc>
          <w:tcPr>
            <w:tcW w:type="dxa" w:w="3360"/>
            <w:vAlign w:val="center"/>
          </w:tcPr>
          <w:p>
            <w:r/>
            <w:r>
              <w:rPr>
                <w:b w:val="0"/>
                <w:sz w:val="16"/>
              </w:rPr>
              <w:t>Category-leading or architecturally central capability with comprehensive native support.</w:t>
            </w:r>
          </w:p>
        </w:tc>
      </w:tr>
    </w:tbl>
    <w:p>
      <w:pPr>
        <w:pStyle w:val="Heading2"/>
      </w:pPr>
      <w:r>
        <w:t>1.2 Evaluation rules</w:t>
      </w:r>
    </w:p>
    <w:p>
      <w:pPr>
        <w:pStyle w:val="ListBullet"/>
      </w:pPr>
      <w:r>
        <w:t>Native capability receives more credit than capability available only through a partner, custom project or loosely coupled product.</w:t>
      </w:r>
    </w:p>
    <w:p>
      <w:pPr>
        <w:pStyle w:val="ListBullet"/>
      </w:pPr>
      <w:r>
        <w:t>Mandatory enforcement receives more credit than optional configuration, monitoring or after-the-fact remediation.</w:t>
      </w:r>
    </w:p>
    <w:p>
      <w:pPr>
        <w:pStyle w:val="ListBullet"/>
      </w:pPr>
      <w:r>
        <w:t>Architectural design is credited, but an undeployed or partially deployed capability is discounted for operational maturity.</w:t>
      </w:r>
    </w:p>
    <w:p>
      <w:pPr>
        <w:pStyle w:val="ListBullet"/>
      </w:pPr>
      <w:r>
        <w:t>The comparison evaluates the named vendor portfolio as a whole. This favors incumbents on breadth but prevents a narrow product from receiving credit for capabilities it does not provide.</w:t>
      </w:r>
    </w:p>
    <w:p>
      <w:pPr>
        <w:pStyle w:val="ListBullet"/>
      </w:pPr>
      <w:r>
        <w:t>A score of 20 does not mean mathematically perfect. It means the capability is exceptional relative to the current enterprise software market and central to the vendor's architecture.</w:t>
      </w:r>
    </w:p>
    <w:p>
      <w:pPr>
        <w:pStyle w:val="Heading1"/>
      </w:pPr>
      <w:r>
        <w:t>2. Comparative Results</w:t>
      </w:r>
    </w:p>
    <w:p>
      <w:pPr>
        <w:jc w:val="center"/>
      </w:pPr>
      <w:r>
        <w:drawing>
          <wp:inline xmlns:a="http://schemas.openxmlformats.org/drawingml/2006/main" xmlns:pic="http://schemas.openxmlformats.org/drawingml/2006/picture">
            <wp:extent cx="6217920" cy="6135351"/>
            <wp:docPr id="2" name="Picture 2"/>
            <wp:cNvGraphicFramePr>
              <a:graphicFrameLocks noChangeAspect="1"/>
            </wp:cNvGraphicFramePr>
            <a:graphic>
              <a:graphicData uri="http://schemas.openxmlformats.org/drawingml/2006/picture">
                <pic:pic>
                  <pic:nvPicPr>
                    <pic:cNvPr id="0" name="enterprise_data_ai_spider_20_point.png"/>
                    <pic:cNvPicPr/>
                  </pic:nvPicPr>
                  <pic:blipFill>
                    <a:blip r:embed="rId9"/>
                    <a:stretch>
                      <a:fillRect/>
                    </a:stretch>
                  </pic:blipFill>
                  <pic:spPr>
                    <a:xfrm>
                      <a:off x="0" y="0"/>
                      <a:ext cx="6217920" cy="6135351"/>
                    </a:xfrm>
                    <a:prstGeom prst="rect"/>
                  </pic:spPr>
                </pic:pic>
              </a:graphicData>
            </a:graphic>
          </wp:inline>
        </w:drawing>
      </w:r>
    </w:p>
    <w:p>
      <w:pPr>
        <w:jc w:val="center"/>
      </w:pPr>
      <w:r>
        <w:rPr>
          <w:i/>
        </w:rPr>
        <w:t>Figure 1. Twenty-four-index radar comparison on a 0-20 scale.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7365D"/>
          </w:tcPr>
          <w:p>
            <w:r/>
            <w:r>
              <w:rPr>
                <w:b/>
                <w:color w:val="FFFFFF"/>
                <w:sz w:val="15"/>
              </w:rPr>
              <w:t>Functional condition</w:t>
            </w:r>
          </w:p>
        </w:tc>
        <w:tc>
          <w:tcPr>
            <w:tcW w:type="dxa" w:w="1680"/>
            <w:vAlign w:val="center"/>
            <w:shd w:fill="17365D"/>
          </w:tcPr>
          <w:p>
            <w:r/>
            <w:r>
              <w:rPr>
                <w:b/>
                <w:color w:val="FFFFFF"/>
                <w:sz w:val="15"/>
              </w:rPr>
              <w:t>SAP</w:t>
            </w:r>
          </w:p>
        </w:tc>
        <w:tc>
          <w:tcPr>
            <w:tcW w:type="dxa" w:w="1680"/>
            <w:vAlign w:val="center"/>
            <w:shd w:fill="17365D"/>
          </w:tcPr>
          <w:p>
            <w:r/>
            <w:r>
              <w:rPr>
                <w:b/>
                <w:color w:val="FFFFFF"/>
                <w:sz w:val="15"/>
              </w:rPr>
              <w:t>Oracle</w:t>
            </w:r>
          </w:p>
        </w:tc>
        <w:tc>
          <w:tcPr>
            <w:tcW w:type="dxa" w:w="1680"/>
            <w:vAlign w:val="center"/>
            <w:shd w:fill="17365D"/>
          </w:tcPr>
          <w:p>
            <w:r/>
            <w:r>
              <w:rPr>
                <w:b/>
                <w:color w:val="FFFFFF"/>
                <w:sz w:val="15"/>
              </w:rPr>
              <w:t>Microsoft</w:t>
            </w:r>
          </w:p>
        </w:tc>
        <w:tc>
          <w:tcPr>
            <w:tcW w:type="dxa" w:w="1680"/>
            <w:vAlign w:val="center"/>
            <w:shd w:fill="17365D"/>
          </w:tcPr>
          <w:p>
            <w:r/>
            <w:r>
              <w:rPr>
                <w:b/>
                <w:color w:val="FFFFFF"/>
                <w:sz w:val="15"/>
              </w:rPr>
              <w:t>Salesforce</w:t>
            </w:r>
          </w:p>
        </w:tc>
        <w:tc>
          <w:tcPr>
            <w:tcW w:type="dxa" w:w="1680"/>
            <w:vAlign w:val="center"/>
            <w:shd w:fill="17365D"/>
          </w:tcPr>
          <w:p>
            <w:r/>
            <w:r>
              <w:rPr>
                <w:b/>
                <w:color w:val="FFFFFF"/>
                <w:sz w:val="15"/>
              </w:rPr>
              <w:t>Mimir Labs</w:t>
            </w:r>
          </w:p>
        </w:tc>
      </w:tr>
      <w:tr>
        <w:tc>
          <w:tcPr>
            <w:tcW w:type="dxa" w:w="1680"/>
            <w:vAlign w:val="center"/>
          </w:tcPr>
          <w:p>
            <w:r/>
            <w:r>
              <w:rPr>
                <w:b/>
                <w:sz w:val="14"/>
              </w:rPr>
              <w:t>Canonical semantic model</w:t>
            </w:r>
          </w:p>
        </w:tc>
        <w:tc>
          <w:tcPr>
            <w:tcW w:type="dxa" w:w="1680"/>
            <w:vAlign w:val="center"/>
            <w:shd w:fill="E2F0D9"/>
          </w:tcPr>
          <w:p>
            <w:r/>
            <w:r>
              <w:rPr>
                <w:b w:val="0"/>
                <w:sz w:val="16"/>
              </w:rPr>
              <w:t>18</w:t>
            </w:r>
          </w:p>
        </w:tc>
        <w:tc>
          <w:tcPr>
            <w:tcW w:type="dxa" w:w="1680"/>
            <w:vAlign w:val="center"/>
            <w:shd w:fill="E2F0D9"/>
          </w:tcPr>
          <w:p>
            <w:r/>
            <w:r>
              <w:rPr>
                <w:b w:val="0"/>
                <w:sz w:val="16"/>
              </w:rPr>
              <w:t>18</w:t>
            </w:r>
          </w:p>
        </w:tc>
        <w:tc>
          <w:tcPr>
            <w:tcW w:type="dxa" w:w="1680"/>
            <w:vAlign w:val="center"/>
            <w:shd w:fill="E2F0D9"/>
          </w:tcPr>
          <w:p>
            <w:r/>
            <w:r>
              <w:rPr>
                <w:b w:val="0"/>
                <w:sz w:val="16"/>
              </w:rPr>
              <w:t>16</w:t>
            </w:r>
          </w:p>
        </w:tc>
        <w:tc>
          <w:tcPr>
            <w:tcW w:type="dxa" w:w="1680"/>
            <w:vAlign w:val="center"/>
            <w:shd w:fill="E2F0D9"/>
          </w:tcPr>
          <w:p>
            <w:r/>
            <w:r>
              <w:rPr>
                <w:b w:val="0"/>
                <w:sz w:val="16"/>
              </w:rPr>
              <w:t>17</w:t>
            </w:r>
          </w:p>
        </w:tc>
        <w:tc>
          <w:tcPr>
            <w:tcW w:type="dxa" w:w="1680"/>
            <w:vAlign w:val="center"/>
            <w:shd w:fill="C6E0B4"/>
          </w:tcPr>
          <w:p>
            <w:r/>
            <w:r>
              <w:rPr>
                <w:b w:val="0"/>
                <w:sz w:val="16"/>
              </w:rPr>
              <w:t>20</w:t>
            </w:r>
          </w:p>
        </w:tc>
      </w:tr>
      <w:tr>
        <w:tc>
          <w:tcPr>
            <w:tcW w:type="dxa" w:w="1680"/>
            <w:vAlign w:val="center"/>
          </w:tcPr>
          <w:p>
            <w:r/>
            <w:r>
              <w:rPr>
                <w:b/>
                <w:sz w:val="14"/>
              </w:rPr>
              <w:t>Data discovery</w:t>
            </w:r>
          </w:p>
        </w:tc>
        <w:tc>
          <w:tcPr>
            <w:tcW w:type="dxa" w:w="1680"/>
            <w:vAlign w:val="center"/>
            <w:shd w:fill="E2F0D9"/>
          </w:tcPr>
          <w:p>
            <w:r/>
            <w:r>
              <w:rPr>
                <w:b w:val="0"/>
                <w:sz w:val="16"/>
              </w:rPr>
              <w:t>17</w:t>
            </w:r>
          </w:p>
        </w:tc>
        <w:tc>
          <w:tcPr>
            <w:tcW w:type="dxa" w:w="1680"/>
            <w:vAlign w:val="center"/>
            <w:shd w:fill="E2F0D9"/>
          </w:tcPr>
          <w:p>
            <w:r/>
            <w:r>
              <w:rPr>
                <w:b w:val="0"/>
                <w:sz w:val="16"/>
              </w:rPr>
              <w:t>16</w:t>
            </w:r>
          </w:p>
        </w:tc>
        <w:tc>
          <w:tcPr>
            <w:tcW w:type="dxa" w:w="1680"/>
            <w:vAlign w:val="center"/>
            <w:shd w:fill="C6E0B4"/>
          </w:tcPr>
          <w:p>
            <w:r/>
            <w:r>
              <w:rPr>
                <w:b w:val="0"/>
                <w:sz w:val="16"/>
              </w:rPr>
              <w:t>19</w:t>
            </w:r>
          </w:p>
        </w:tc>
        <w:tc>
          <w:tcPr>
            <w:tcW w:type="dxa" w:w="1680"/>
            <w:vAlign w:val="center"/>
            <w:shd w:fill="E2F0D9"/>
          </w:tcPr>
          <w:p>
            <w:r/>
            <w:r>
              <w:rPr>
                <w:b w:val="0"/>
                <w:sz w:val="16"/>
              </w:rPr>
              <w:t>17</w:t>
            </w:r>
          </w:p>
        </w:tc>
        <w:tc>
          <w:tcPr>
            <w:tcW w:type="dxa" w:w="1680"/>
            <w:vAlign w:val="center"/>
            <w:shd w:fill="E2F0D9"/>
          </w:tcPr>
          <w:p>
            <w:r/>
            <w:r>
              <w:rPr>
                <w:b w:val="0"/>
                <w:sz w:val="16"/>
              </w:rPr>
              <w:t>18</w:t>
            </w:r>
          </w:p>
        </w:tc>
      </w:tr>
      <w:tr>
        <w:tc>
          <w:tcPr>
            <w:tcW w:type="dxa" w:w="1680"/>
            <w:vAlign w:val="center"/>
          </w:tcPr>
          <w:p>
            <w:r/>
            <w:r>
              <w:rPr>
                <w:b/>
                <w:sz w:val="14"/>
              </w:rPr>
              <w:t>Data lineage</w:t>
            </w:r>
          </w:p>
        </w:tc>
        <w:tc>
          <w:tcPr>
            <w:tcW w:type="dxa" w:w="1680"/>
            <w:vAlign w:val="center"/>
            <w:shd w:fill="E2F0D9"/>
          </w:tcPr>
          <w:p>
            <w:r/>
            <w:r>
              <w:rPr>
                <w:b w:val="0"/>
                <w:sz w:val="16"/>
              </w:rPr>
              <w:t>18</w:t>
            </w:r>
          </w:p>
        </w:tc>
        <w:tc>
          <w:tcPr>
            <w:tcW w:type="dxa" w:w="1680"/>
            <w:vAlign w:val="center"/>
            <w:shd w:fill="E2F0D9"/>
          </w:tcPr>
          <w:p>
            <w:r/>
            <w:r>
              <w:rPr>
                <w:b w:val="0"/>
                <w:sz w:val="16"/>
              </w:rPr>
              <w:t>17</w:t>
            </w:r>
          </w:p>
        </w:tc>
        <w:tc>
          <w:tcPr>
            <w:tcW w:type="dxa" w:w="1680"/>
            <w:vAlign w:val="center"/>
            <w:shd w:fill="C6E0B4"/>
          </w:tcPr>
          <w:p>
            <w:r/>
            <w:r>
              <w:rPr>
                <w:b w:val="0"/>
                <w:sz w:val="16"/>
              </w:rPr>
              <w:t>20</w:t>
            </w:r>
          </w:p>
        </w:tc>
        <w:tc>
          <w:tcPr>
            <w:tcW w:type="dxa" w:w="1680"/>
            <w:vAlign w:val="center"/>
            <w:shd w:fill="E2F0D9"/>
          </w:tcPr>
          <w:p>
            <w:r/>
            <w:r>
              <w:rPr>
                <w:b w:val="0"/>
                <w:sz w:val="16"/>
              </w:rPr>
              <w:t>16</w:t>
            </w:r>
          </w:p>
        </w:tc>
        <w:tc>
          <w:tcPr>
            <w:tcW w:type="dxa" w:w="1680"/>
            <w:vAlign w:val="center"/>
            <w:shd w:fill="E2F0D9"/>
          </w:tcPr>
          <w:p>
            <w:r/>
            <w:r>
              <w:rPr>
                <w:b w:val="0"/>
                <w:sz w:val="16"/>
              </w:rPr>
              <w:t>17</w:t>
            </w:r>
          </w:p>
        </w:tc>
      </w:tr>
      <w:tr>
        <w:tc>
          <w:tcPr>
            <w:tcW w:type="dxa" w:w="1680"/>
            <w:vAlign w:val="center"/>
          </w:tcPr>
          <w:p>
            <w:r/>
            <w:r>
              <w:rPr>
                <w:b/>
                <w:sz w:val="14"/>
              </w:rPr>
              <w:t>Master data governance</w:t>
            </w:r>
          </w:p>
        </w:tc>
        <w:tc>
          <w:tcPr>
            <w:tcW w:type="dxa" w:w="1680"/>
            <w:vAlign w:val="center"/>
            <w:shd w:fill="C6E0B4"/>
          </w:tcPr>
          <w:p>
            <w:r/>
            <w:r>
              <w:rPr>
                <w:b w:val="0"/>
                <w:sz w:val="16"/>
              </w:rPr>
              <w:t>20</w:t>
            </w:r>
          </w:p>
        </w:tc>
        <w:tc>
          <w:tcPr>
            <w:tcW w:type="dxa" w:w="1680"/>
            <w:vAlign w:val="center"/>
            <w:shd w:fill="C6E0B4"/>
          </w:tcPr>
          <w:p>
            <w:r/>
            <w:r>
              <w:rPr>
                <w:b w:val="0"/>
                <w:sz w:val="16"/>
              </w:rPr>
              <w:t>19</w:t>
            </w:r>
          </w:p>
        </w:tc>
        <w:tc>
          <w:tcPr>
            <w:tcW w:type="dxa" w:w="1680"/>
            <w:vAlign w:val="center"/>
            <w:shd w:fill="E2F0D9"/>
          </w:tcPr>
          <w:p>
            <w:r/>
            <w:r>
              <w:rPr>
                <w:b w:val="0"/>
                <w:sz w:val="16"/>
              </w:rPr>
              <w:t>16</w:t>
            </w:r>
          </w:p>
        </w:tc>
        <w:tc>
          <w:tcPr>
            <w:tcW w:type="dxa" w:w="1680"/>
            <w:vAlign w:val="center"/>
            <w:shd w:fill="E2F0D9"/>
          </w:tcPr>
          <w:p>
            <w:r/>
            <w:r>
              <w:rPr>
                <w:b w:val="0"/>
                <w:sz w:val="16"/>
              </w:rPr>
              <w:t>18</w:t>
            </w:r>
          </w:p>
        </w:tc>
        <w:tc>
          <w:tcPr>
            <w:tcW w:type="dxa" w:w="1680"/>
            <w:vAlign w:val="center"/>
            <w:shd w:fill="C6E0B4"/>
          </w:tcPr>
          <w:p>
            <w:r/>
            <w:r>
              <w:rPr>
                <w:b w:val="0"/>
                <w:sz w:val="16"/>
              </w:rPr>
              <w:t>19</w:t>
            </w:r>
          </w:p>
        </w:tc>
      </w:tr>
      <w:tr>
        <w:tc>
          <w:tcPr>
            <w:tcW w:type="dxa" w:w="1680"/>
            <w:vAlign w:val="center"/>
          </w:tcPr>
          <w:p>
            <w:r/>
            <w:r>
              <w:rPr>
                <w:b/>
                <w:sz w:val="14"/>
              </w:rPr>
              <w:t>Data quality enforcement</w:t>
            </w:r>
          </w:p>
        </w:tc>
        <w:tc>
          <w:tcPr>
            <w:tcW w:type="dxa" w:w="1680"/>
            <w:vAlign w:val="center"/>
            <w:shd w:fill="E2F0D9"/>
          </w:tcPr>
          <w:p>
            <w:r/>
            <w:r>
              <w:rPr>
                <w:b w:val="0"/>
                <w:sz w:val="16"/>
              </w:rPr>
              <w:t>17</w:t>
            </w:r>
          </w:p>
        </w:tc>
        <w:tc>
          <w:tcPr>
            <w:tcW w:type="dxa" w:w="1680"/>
            <w:vAlign w:val="center"/>
            <w:shd w:fill="E2F0D9"/>
          </w:tcPr>
          <w:p>
            <w:r/>
            <w:r>
              <w:rPr>
                <w:b w:val="0"/>
                <w:sz w:val="16"/>
              </w:rPr>
              <w:t>17</w:t>
            </w:r>
          </w:p>
        </w:tc>
        <w:tc>
          <w:tcPr>
            <w:tcW w:type="dxa" w:w="1680"/>
            <w:vAlign w:val="center"/>
            <w:shd w:fill="E2F0D9"/>
          </w:tcPr>
          <w:p>
            <w:r/>
            <w:r>
              <w:rPr>
                <w:b w:val="0"/>
                <w:sz w:val="16"/>
              </w:rPr>
              <w:t>17</w:t>
            </w:r>
          </w:p>
        </w:tc>
        <w:tc>
          <w:tcPr>
            <w:tcW w:type="dxa" w:w="1680"/>
            <w:vAlign w:val="center"/>
            <w:shd w:fill="E2F0D9"/>
          </w:tcPr>
          <w:p>
            <w:r/>
            <w:r>
              <w:rPr>
                <w:b w:val="0"/>
                <w:sz w:val="16"/>
              </w:rPr>
              <w:t>16</w:t>
            </w:r>
          </w:p>
        </w:tc>
        <w:tc>
          <w:tcPr>
            <w:tcW w:type="dxa" w:w="1680"/>
            <w:vAlign w:val="center"/>
            <w:shd w:fill="C6E0B4"/>
          </w:tcPr>
          <w:p>
            <w:r/>
            <w:r>
              <w:rPr>
                <w:b w:val="0"/>
                <w:sz w:val="16"/>
              </w:rPr>
              <w:t>20</w:t>
            </w:r>
          </w:p>
        </w:tc>
      </w:tr>
      <w:tr>
        <w:tc>
          <w:tcPr>
            <w:tcW w:type="dxa" w:w="1680"/>
            <w:vAlign w:val="center"/>
          </w:tcPr>
          <w:p>
            <w:r/>
            <w:r>
              <w:rPr>
                <w:b/>
                <w:sz w:val="14"/>
              </w:rPr>
              <w:t>Schema governance</w:t>
            </w:r>
          </w:p>
        </w:tc>
        <w:tc>
          <w:tcPr>
            <w:tcW w:type="dxa" w:w="1680"/>
            <w:vAlign w:val="center"/>
            <w:shd w:fill="E2F0D9"/>
          </w:tcPr>
          <w:p>
            <w:r/>
            <w:r>
              <w:rPr>
                <w:b w:val="0"/>
                <w:sz w:val="16"/>
              </w:rPr>
              <w:t>17</w:t>
            </w:r>
          </w:p>
        </w:tc>
        <w:tc>
          <w:tcPr>
            <w:tcW w:type="dxa" w:w="1680"/>
            <w:vAlign w:val="center"/>
            <w:shd w:fill="E2F0D9"/>
          </w:tcPr>
          <w:p>
            <w:r/>
            <w:r>
              <w:rPr>
                <w:b w:val="0"/>
                <w:sz w:val="16"/>
              </w:rPr>
              <w:t>18</w:t>
            </w:r>
          </w:p>
        </w:tc>
        <w:tc>
          <w:tcPr>
            <w:tcW w:type="dxa" w:w="1680"/>
            <w:vAlign w:val="center"/>
            <w:shd w:fill="E2F0D9"/>
          </w:tcPr>
          <w:p>
            <w:r/>
            <w:r>
              <w:rPr>
                <w:b w:val="0"/>
                <w:sz w:val="16"/>
              </w:rPr>
              <w:t>17</w:t>
            </w:r>
          </w:p>
        </w:tc>
        <w:tc>
          <w:tcPr>
            <w:tcW w:type="dxa" w:w="1680"/>
            <w:vAlign w:val="center"/>
            <w:shd w:fill="E2F0D9"/>
          </w:tcPr>
          <w:p>
            <w:r/>
            <w:r>
              <w:rPr>
                <w:b w:val="0"/>
                <w:sz w:val="16"/>
              </w:rPr>
              <w:t>16</w:t>
            </w:r>
          </w:p>
        </w:tc>
        <w:tc>
          <w:tcPr>
            <w:tcW w:type="dxa" w:w="1680"/>
            <w:vAlign w:val="center"/>
            <w:shd w:fill="C6E0B4"/>
          </w:tcPr>
          <w:p>
            <w:r/>
            <w:r>
              <w:rPr>
                <w:b w:val="0"/>
                <w:sz w:val="16"/>
              </w:rPr>
              <w:t>20</w:t>
            </w:r>
          </w:p>
        </w:tc>
      </w:tr>
      <w:tr>
        <w:tc>
          <w:tcPr>
            <w:tcW w:type="dxa" w:w="1680"/>
            <w:vAlign w:val="center"/>
          </w:tcPr>
          <w:p>
            <w:r/>
            <w:r>
              <w:rPr>
                <w:b/>
                <w:sz w:val="14"/>
              </w:rPr>
              <w:t>Semantic interoperability</w:t>
            </w:r>
          </w:p>
        </w:tc>
        <w:tc>
          <w:tcPr>
            <w:tcW w:type="dxa" w:w="1680"/>
            <w:vAlign w:val="center"/>
            <w:shd w:fill="E2F0D9"/>
          </w:tcPr>
          <w:p>
            <w:r/>
            <w:r>
              <w:rPr>
                <w:b w:val="0"/>
                <w:sz w:val="16"/>
              </w:rPr>
              <w:t>18</w:t>
            </w:r>
          </w:p>
        </w:tc>
        <w:tc>
          <w:tcPr>
            <w:tcW w:type="dxa" w:w="1680"/>
            <w:vAlign w:val="center"/>
            <w:shd w:fill="E2F0D9"/>
          </w:tcPr>
          <w:p>
            <w:r/>
            <w:r>
              <w:rPr>
                <w:b w:val="0"/>
                <w:sz w:val="16"/>
              </w:rPr>
              <w:t>17</w:t>
            </w:r>
          </w:p>
        </w:tc>
        <w:tc>
          <w:tcPr>
            <w:tcW w:type="dxa" w:w="1680"/>
            <w:vAlign w:val="center"/>
            <w:shd w:fill="E2F0D9"/>
          </w:tcPr>
          <w:p>
            <w:r/>
            <w:r>
              <w:rPr>
                <w:b w:val="0"/>
                <w:sz w:val="16"/>
              </w:rPr>
              <w:t>18</w:t>
            </w:r>
          </w:p>
        </w:tc>
        <w:tc>
          <w:tcPr>
            <w:tcW w:type="dxa" w:w="1680"/>
            <w:vAlign w:val="center"/>
            <w:shd w:fill="E2F0D9"/>
          </w:tcPr>
          <w:p>
            <w:r/>
            <w:r>
              <w:rPr>
                <w:b w:val="0"/>
                <w:sz w:val="16"/>
              </w:rPr>
              <w:t>17</w:t>
            </w:r>
          </w:p>
        </w:tc>
        <w:tc>
          <w:tcPr>
            <w:tcW w:type="dxa" w:w="1680"/>
            <w:vAlign w:val="center"/>
            <w:shd w:fill="C6E0B4"/>
          </w:tcPr>
          <w:p>
            <w:r/>
            <w:r>
              <w:rPr>
                <w:b w:val="0"/>
                <w:sz w:val="16"/>
              </w:rPr>
              <w:t>20</w:t>
            </w:r>
          </w:p>
        </w:tc>
      </w:tr>
      <w:tr>
        <w:tc>
          <w:tcPr>
            <w:tcW w:type="dxa" w:w="1680"/>
            <w:vAlign w:val="center"/>
          </w:tcPr>
          <w:p>
            <w:r/>
            <w:r>
              <w:rPr>
                <w:b/>
                <w:sz w:val="14"/>
              </w:rPr>
              <w:t>Migration capability</w:t>
            </w:r>
          </w:p>
        </w:tc>
        <w:tc>
          <w:tcPr>
            <w:tcW w:type="dxa" w:w="1680"/>
            <w:vAlign w:val="center"/>
            <w:shd w:fill="E2F0D9"/>
          </w:tcPr>
          <w:p>
            <w:r/>
            <w:r>
              <w:rPr>
                <w:b w:val="0"/>
                <w:sz w:val="16"/>
              </w:rPr>
              <w:t>17</w:t>
            </w:r>
          </w:p>
        </w:tc>
        <w:tc>
          <w:tcPr>
            <w:tcW w:type="dxa" w:w="1680"/>
            <w:vAlign w:val="center"/>
            <w:shd w:fill="E2F0D9"/>
          </w:tcPr>
          <w:p>
            <w:r/>
            <w:r>
              <w:rPr>
                <w:b w:val="0"/>
                <w:sz w:val="16"/>
              </w:rPr>
              <w:t>17</w:t>
            </w:r>
          </w:p>
        </w:tc>
        <w:tc>
          <w:tcPr>
            <w:tcW w:type="dxa" w:w="1680"/>
            <w:vAlign w:val="center"/>
            <w:shd w:fill="E2F0D9"/>
          </w:tcPr>
          <w:p>
            <w:r/>
            <w:r>
              <w:rPr>
                <w:b w:val="0"/>
                <w:sz w:val="16"/>
              </w:rPr>
              <w:t>16</w:t>
            </w:r>
          </w:p>
        </w:tc>
        <w:tc>
          <w:tcPr>
            <w:tcW w:type="dxa" w:w="1680"/>
            <w:vAlign w:val="center"/>
          </w:tcPr>
          <w:p>
            <w:r/>
            <w:r>
              <w:rPr>
                <w:b w:val="0"/>
                <w:sz w:val="16"/>
              </w:rPr>
              <w:t>13</w:t>
            </w:r>
          </w:p>
        </w:tc>
        <w:tc>
          <w:tcPr>
            <w:tcW w:type="dxa" w:w="1680"/>
            <w:vAlign w:val="center"/>
            <w:shd w:fill="E2F0D9"/>
          </w:tcPr>
          <w:p>
            <w:r/>
            <w:r>
              <w:rPr>
                <w:b w:val="0"/>
                <w:sz w:val="16"/>
              </w:rPr>
              <w:t>16</w:t>
            </w:r>
          </w:p>
        </w:tc>
      </w:tr>
      <w:tr>
        <w:tc>
          <w:tcPr>
            <w:tcW w:type="dxa" w:w="1680"/>
            <w:vAlign w:val="center"/>
          </w:tcPr>
          <w:p>
            <w:r/>
            <w:r>
              <w:rPr>
                <w:b/>
                <w:sz w:val="14"/>
              </w:rPr>
              <w:t>Cross-system synchronization</w:t>
            </w:r>
          </w:p>
        </w:tc>
        <w:tc>
          <w:tcPr>
            <w:tcW w:type="dxa" w:w="1680"/>
            <w:vAlign w:val="center"/>
            <w:shd w:fill="E2F0D9"/>
          </w:tcPr>
          <w:p>
            <w:r/>
            <w:r>
              <w:rPr>
                <w:b w:val="0"/>
                <w:sz w:val="16"/>
              </w:rPr>
              <w:t>17</w:t>
            </w:r>
          </w:p>
        </w:tc>
        <w:tc>
          <w:tcPr>
            <w:tcW w:type="dxa" w:w="1680"/>
            <w:vAlign w:val="center"/>
            <w:shd w:fill="E2F0D9"/>
          </w:tcPr>
          <w:p>
            <w:r/>
            <w:r>
              <w:rPr>
                <w:b w:val="0"/>
                <w:sz w:val="16"/>
              </w:rPr>
              <w:t>17</w:t>
            </w:r>
          </w:p>
        </w:tc>
        <w:tc>
          <w:tcPr>
            <w:tcW w:type="dxa" w:w="1680"/>
            <w:vAlign w:val="center"/>
            <w:shd w:fill="C6E0B4"/>
          </w:tcPr>
          <w:p>
            <w:r/>
            <w:r>
              <w:rPr>
                <w:b w:val="0"/>
                <w:sz w:val="16"/>
              </w:rPr>
              <w:t>19</w:t>
            </w:r>
          </w:p>
        </w:tc>
        <w:tc>
          <w:tcPr>
            <w:tcW w:type="dxa" w:w="1680"/>
            <w:vAlign w:val="center"/>
            <w:shd w:fill="E2F0D9"/>
          </w:tcPr>
          <w:p>
            <w:r/>
            <w:r>
              <w:rPr>
                <w:b w:val="0"/>
                <w:sz w:val="16"/>
              </w:rPr>
              <w:t>16</w:t>
            </w:r>
          </w:p>
        </w:tc>
        <w:tc>
          <w:tcPr>
            <w:tcW w:type="dxa" w:w="1680"/>
            <w:vAlign w:val="center"/>
            <w:shd w:fill="E2F0D9"/>
          </w:tcPr>
          <w:p>
            <w:r/>
            <w:r>
              <w:rPr>
                <w:b w:val="0"/>
                <w:sz w:val="16"/>
              </w:rPr>
              <w:t>17</w:t>
            </w:r>
          </w:p>
        </w:tc>
      </w:tr>
      <w:tr>
        <w:tc>
          <w:tcPr>
            <w:tcW w:type="dxa" w:w="1680"/>
            <w:vAlign w:val="center"/>
          </w:tcPr>
          <w:p>
            <w:r/>
            <w:r>
              <w:rPr>
                <w:b/>
                <w:sz w:val="14"/>
              </w:rPr>
              <w:t>Integration breadth</w:t>
            </w:r>
          </w:p>
        </w:tc>
        <w:tc>
          <w:tcPr>
            <w:tcW w:type="dxa" w:w="1680"/>
            <w:vAlign w:val="center"/>
            <w:shd w:fill="C6E0B4"/>
          </w:tcPr>
          <w:p>
            <w:r/>
            <w:r>
              <w:rPr>
                <w:b w:val="0"/>
                <w:sz w:val="16"/>
              </w:rPr>
              <w:t>20</w:t>
            </w:r>
          </w:p>
        </w:tc>
        <w:tc>
          <w:tcPr>
            <w:tcW w:type="dxa" w:w="1680"/>
            <w:vAlign w:val="center"/>
            <w:shd w:fill="C6E0B4"/>
          </w:tcPr>
          <w:p>
            <w:r/>
            <w:r>
              <w:rPr>
                <w:b w:val="0"/>
                <w:sz w:val="16"/>
              </w:rPr>
              <w:t>19</w:t>
            </w:r>
          </w:p>
        </w:tc>
        <w:tc>
          <w:tcPr>
            <w:tcW w:type="dxa" w:w="1680"/>
            <w:vAlign w:val="center"/>
            <w:shd w:fill="C6E0B4"/>
          </w:tcPr>
          <w:p>
            <w:r/>
            <w:r>
              <w:rPr>
                <w:b w:val="0"/>
                <w:sz w:val="16"/>
              </w:rPr>
              <w:t>20</w:t>
            </w:r>
          </w:p>
        </w:tc>
        <w:tc>
          <w:tcPr>
            <w:tcW w:type="dxa" w:w="1680"/>
            <w:vAlign w:val="center"/>
            <w:shd w:fill="E2F0D9"/>
          </w:tcPr>
          <w:p>
            <w:r/>
            <w:r>
              <w:rPr>
                <w:b w:val="0"/>
                <w:sz w:val="16"/>
              </w:rPr>
              <w:t>18</w:t>
            </w:r>
          </w:p>
        </w:tc>
        <w:tc>
          <w:tcPr>
            <w:tcW w:type="dxa" w:w="1680"/>
            <w:vAlign w:val="center"/>
            <w:shd w:fill="FCE4D6"/>
          </w:tcPr>
          <w:p>
            <w:r/>
            <w:r>
              <w:rPr>
                <w:b w:val="0"/>
                <w:sz w:val="16"/>
              </w:rPr>
              <w:t>11</w:t>
            </w:r>
          </w:p>
        </w:tc>
      </w:tr>
      <w:tr>
        <w:tc>
          <w:tcPr>
            <w:tcW w:type="dxa" w:w="1680"/>
            <w:vAlign w:val="center"/>
          </w:tcPr>
          <w:p>
            <w:r/>
            <w:r>
              <w:rPr>
                <w:b/>
                <w:sz w:val="14"/>
              </w:rPr>
              <w:t>Operational workflow</w:t>
            </w:r>
          </w:p>
        </w:tc>
        <w:tc>
          <w:tcPr>
            <w:tcW w:type="dxa" w:w="1680"/>
            <w:vAlign w:val="center"/>
            <w:shd w:fill="C6E0B4"/>
          </w:tcPr>
          <w:p>
            <w:r/>
            <w:r>
              <w:rPr>
                <w:b w:val="0"/>
                <w:sz w:val="16"/>
              </w:rPr>
              <w:t>20</w:t>
            </w:r>
          </w:p>
        </w:tc>
        <w:tc>
          <w:tcPr>
            <w:tcW w:type="dxa" w:w="1680"/>
            <w:vAlign w:val="center"/>
            <w:shd w:fill="C6E0B4"/>
          </w:tcPr>
          <w:p>
            <w:r/>
            <w:r>
              <w:rPr>
                <w:b w:val="0"/>
                <w:sz w:val="16"/>
              </w:rPr>
              <w:t>20</w:t>
            </w:r>
          </w:p>
        </w:tc>
        <w:tc>
          <w:tcPr>
            <w:tcW w:type="dxa" w:w="1680"/>
            <w:vAlign w:val="center"/>
            <w:shd w:fill="E2F0D9"/>
          </w:tcPr>
          <w:p>
            <w:r/>
            <w:r>
              <w:rPr>
                <w:b w:val="0"/>
                <w:sz w:val="16"/>
              </w:rPr>
              <w:t>17</w:t>
            </w:r>
          </w:p>
        </w:tc>
        <w:tc>
          <w:tcPr>
            <w:tcW w:type="dxa" w:w="1680"/>
            <w:vAlign w:val="center"/>
            <w:shd w:fill="C6E0B4"/>
          </w:tcPr>
          <w:p>
            <w:r/>
            <w:r>
              <w:rPr>
                <w:b w:val="0"/>
                <w:sz w:val="16"/>
              </w:rPr>
              <w:t>19</w:t>
            </w:r>
          </w:p>
        </w:tc>
        <w:tc>
          <w:tcPr>
            <w:tcW w:type="dxa" w:w="1680"/>
            <w:vAlign w:val="center"/>
            <w:shd w:fill="E2F0D9"/>
          </w:tcPr>
          <w:p>
            <w:r/>
            <w:r>
              <w:rPr>
                <w:b w:val="0"/>
                <w:sz w:val="16"/>
              </w:rPr>
              <w:t>18</w:t>
            </w:r>
          </w:p>
        </w:tc>
      </w:tr>
      <w:tr>
        <w:tc>
          <w:tcPr>
            <w:tcW w:type="dxa" w:w="1680"/>
            <w:vAlign w:val="center"/>
          </w:tcPr>
          <w:p>
            <w:r/>
            <w:r>
              <w:rPr>
                <w:b/>
                <w:sz w:val="14"/>
              </w:rPr>
              <w:t>ERP transaction depth</w:t>
            </w:r>
          </w:p>
        </w:tc>
        <w:tc>
          <w:tcPr>
            <w:tcW w:type="dxa" w:w="1680"/>
            <w:vAlign w:val="center"/>
            <w:shd w:fill="C6E0B4"/>
          </w:tcPr>
          <w:p>
            <w:r/>
            <w:r>
              <w:rPr>
                <w:b w:val="0"/>
                <w:sz w:val="16"/>
              </w:rPr>
              <w:t>20</w:t>
            </w:r>
          </w:p>
        </w:tc>
        <w:tc>
          <w:tcPr>
            <w:tcW w:type="dxa" w:w="1680"/>
            <w:vAlign w:val="center"/>
            <w:shd w:fill="C6E0B4"/>
          </w:tcPr>
          <w:p>
            <w:r/>
            <w:r>
              <w:rPr>
                <w:b w:val="0"/>
                <w:sz w:val="16"/>
              </w:rPr>
              <w:t>20</w:t>
            </w:r>
          </w:p>
        </w:tc>
        <w:tc>
          <w:tcPr>
            <w:tcW w:type="dxa" w:w="1680"/>
            <w:vAlign w:val="center"/>
          </w:tcPr>
          <w:p>
            <w:r/>
            <w:r>
              <w:rPr>
                <w:b w:val="0"/>
                <w:sz w:val="16"/>
              </w:rPr>
              <w:t>14</w:t>
            </w:r>
          </w:p>
        </w:tc>
        <w:tc>
          <w:tcPr>
            <w:tcW w:type="dxa" w:w="1680"/>
            <w:vAlign w:val="center"/>
          </w:tcPr>
          <w:p>
            <w:r/>
            <w:r>
              <w:rPr>
                <w:b w:val="0"/>
                <w:sz w:val="16"/>
              </w:rPr>
              <w:t>14</w:t>
            </w:r>
          </w:p>
        </w:tc>
        <w:tc>
          <w:tcPr>
            <w:tcW w:type="dxa" w:w="1680"/>
            <w:vAlign w:val="center"/>
            <w:shd w:fill="E2F0D9"/>
          </w:tcPr>
          <w:p>
            <w:r/>
            <w:r>
              <w:rPr>
                <w:b w:val="0"/>
                <w:sz w:val="16"/>
              </w:rPr>
              <w:t>17</w:t>
            </w:r>
          </w:p>
        </w:tc>
      </w:tr>
    </w:tbl>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7365D"/>
          </w:tcPr>
          <w:p>
            <w:r/>
            <w:r>
              <w:rPr>
                <w:b/>
                <w:color w:val="FFFFFF"/>
                <w:sz w:val="15"/>
              </w:rPr>
              <w:t>Functional condition</w:t>
            </w:r>
          </w:p>
        </w:tc>
        <w:tc>
          <w:tcPr>
            <w:tcW w:type="dxa" w:w="1680"/>
            <w:vAlign w:val="center"/>
            <w:shd w:fill="17365D"/>
          </w:tcPr>
          <w:p>
            <w:r/>
            <w:r>
              <w:rPr>
                <w:b/>
                <w:color w:val="FFFFFF"/>
                <w:sz w:val="15"/>
              </w:rPr>
              <w:t>SAP</w:t>
            </w:r>
          </w:p>
        </w:tc>
        <w:tc>
          <w:tcPr>
            <w:tcW w:type="dxa" w:w="1680"/>
            <w:vAlign w:val="center"/>
            <w:shd w:fill="17365D"/>
          </w:tcPr>
          <w:p>
            <w:r/>
            <w:r>
              <w:rPr>
                <w:b/>
                <w:color w:val="FFFFFF"/>
                <w:sz w:val="15"/>
              </w:rPr>
              <w:t>Oracle</w:t>
            </w:r>
          </w:p>
        </w:tc>
        <w:tc>
          <w:tcPr>
            <w:tcW w:type="dxa" w:w="1680"/>
            <w:vAlign w:val="center"/>
            <w:shd w:fill="17365D"/>
          </w:tcPr>
          <w:p>
            <w:r/>
            <w:r>
              <w:rPr>
                <w:b/>
                <w:color w:val="FFFFFF"/>
                <w:sz w:val="15"/>
              </w:rPr>
              <w:t>Microsoft</w:t>
            </w:r>
          </w:p>
        </w:tc>
        <w:tc>
          <w:tcPr>
            <w:tcW w:type="dxa" w:w="1680"/>
            <w:vAlign w:val="center"/>
            <w:shd w:fill="17365D"/>
          </w:tcPr>
          <w:p>
            <w:r/>
            <w:r>
              <w:rPr>
                <w:b/>
                <w:color w:val="FFFFFF"/>
                <w:sz w:val="15"/>
              </w:rPr>
              <w:t>Salesforce</w:t>
            </w:r>
          </w:p>
        </w:tc>
        <w:tc>
          <w:tcPr>
            <w:tcW w:type="dxa" w:w="1680"/>
            <w:vAlign w:val="center"/>
            <w:shd w:fill="17365D"/>
          </w:tcPr>
          <w:p>
            <w:r/>
            <w:r>
              <w:rPr>
                <w:b/>
                <w:color w:val="FFFFFF"/>
                <w:sz w:val="15"/>
              </w:rPr>
              <w:t>Mimir Labs</w:t>
            </w:r>
          </w:p>
        </w:tc>
      </w:tr>
      <w:tr>
        <w:tc>
          <w:tcPr>
            <w:tcW w:type="dxa" w:w="1680"/>
            <w:vAlign w:val="center"/>
          </w:tcPr>
          <w:p>
            <w:r/>
            <w:r>
              <w:rPr>
                <w:b/>
                <w:sz w:val="14"/>
              </w:rPr>
              <w:t>AI/agent capability</w:t>
            </w:r>
          </w:p>
        </w:tc>
        <w:tc>
          <w:tcPr>
            <w:tcW w:type="dxa" w:w="1680"/>
            <w:vAlign w:val="center"/>
            <w:shd w:fill="E2F0D9"/>
          </w:tcPr>
          <w:p>
            <w:r/>
            <w:r>
              <w:rPr>
                <w:b w:val="0"/>
                <w:sz w:val="16"/>
              </w:rPr>
              <w:t>18</w:t>
            </w:r>
          </w:p>
        </w:tc>
        <w:tc>
          <w:tcPr>
            <w:tcW w:type="dxa" w:w="1680"/>
            <w:vAlign w:val="center"/>
            <w:shd w:fill="C6E0B4"/>
          </w:tcPr>
          <w:p>
            <w:r/>
            <w:r>
              <w:rPr>
                <w:b w:val="0"/>
                <w:sz w:val="16"/>
              </w:rPr>
              <w:t>19</w:t>
            </w:r>
          </w:p>
        </w:tc>
        <w:tc>
          <w:tcPr>
            <w:tcW w:type="dxa" w:w="1680"/>
            <w:vAlign w:val="center"/>
            <w:shd w:fill="C6E0B4"/>
          </w:tcPr>
          <w:p>
            <w:r/>
            <w:r>
              <w:rPr>
                <w:b w:val="0"/>
                <w:sz w:val="16"/>
              </w:rPr>
              <w:t>20</w:t>
            </w:r>
          </w:p>
        </w:tc>
        <w:tc>
          <w:tcPr>
            <w:tcW w:type="dxa" w:w="1680"/>
            <w:vAlign w:val="center"/>
            <w:shd w:fill="C6E0B4"/>
          </w:tcPr>
          <w:p>
            <w:r/>
            <w:r>
              <w:rPr>
                <w:b w:val="0"/>
                <w:sz w:val="16"/>
              </w:rPr>
              <w:t>20</w:t>
            </w:r>
          </w:p>
        </w:tc>
        <w:tc>
          <w:tcPr>
            <w:tcW w:type="dxa" w:w="1680"/>
            <w:vAlign w:val="center"/>
          </w:tcPr>
          <w:p>
            <w:r/>
            <w:r>
              <w:rPr>
                <w:b w:val="0"/>
                <w:sz w:val="16"/>
              </w:rPr>
              <w:t>12</w:t>
            </w:r>
          </w:p>
        </w:tc>
      </w:tr>
      <w:tr>
        <w:tc>
          <w:tcPr>
            <w:tcW w:type="dxa" w:w="1680"/>
            <w:vAlign w:val="center"/>
          </w:tcPr>
          <w:p>
            <w:r/>
            <w:r>
              <w:rPr>
                <w:b/>
                <w:sz w:val="14"/>
              </w:rPr>
              <w:t>AI business context</w:t>
            </w:r>
          </w:p>
        </w:tc>
        <w:tc>
          <w:tcPr>
            <w:tcW w:type="dxa" w:w="1680"/>
            <w:vAlign w:val="center"/>
            <w:shd w:fill="C6E0B4"/>
          </w:tcPr>
          <w:p>
            <w:r/>
            <w:r>
              <w:rPr>
                <w:b w:val="0"/>
                <w:sz w:val="16"/>
              </w:rPr>
              <w:t>19</w:t>
            </w:r>
          </w:p>
        </w:tc>
        <w:tc>
          <w:tcPr>
            <w:tcW w:type="dxa" w:w="1680"/>
            <w:vAlign w:val="center"/>
            <w:shd w:fill="C6E0B4"/>
          </w:tcPr>
          <w:p>
            <w:r/>
            <w:r>
              <w:rPr>
                <w:b w:val="0"/>
                <w:sz w:val="16"/>
              </w:rPr>
              <w:t>19</w:t>
            </w:r>
          </w:p>
        </w:tc>
        <w:tc>
          <w:tcPr>
            <w:tcW w:type="dxa" w:w="1680"/>
            <w:vAlign w:val="center"/>
            <w:shd w:fill="E2F0D9"/>
          </w:tcPr>
          <w:p>
            <w:r/>
            <w:r>
              <w:rPr>
                <w:b w:val="0"/>
                <w:sz w:val="16"/>
              </w:rPr>
              <w:t>18</w:t>
            </w:r>
          </w:p>
        </w:tc>
        <w:tc>
          <w:tcPr>
            <w:tcW w:type="dxa" w:w="1680"/>
            <w:vAlign w:val="center"/>
            <w:shd w:fill="C6E0B4"/>
          </w:tcPr>
          <w:p>
            <w:r/>
            <w:r>
              <w:rPr>
                <w:b w:val="0"/>
                <w:sz w:val="16"/>
              </w:rPr>
              <w:t>19</w:t>
            </w:r>
          </w:p>
        </w:tc>
        <w:tc>
          <w:tcPr>
            <w:tcW w:type="dxa" w:w="1680"/>
            <w:vAlign w:val="center"/>
            <w:shd w:fill="E2F0D9"/>
          </w:tcPr>
          <w:p>
            <w:r/>
            <w:r>
              <w:rPr>
                <w:b w:val="0"/>
                <w:sz w:val="16"/>
              </w:rPr>
              <w:t>18</w:t>
            </w:r>
          </w:p>
        </w:tc>
      </w:tr>
      <w:tr>
        <w:tc>
          <w:tcPr>
            <w:tcW w:type="dxa" w:w="1680"/>
            <w:vAlign w:val="center"/>
          </w:tcPr>
          <w:p>
            <w:r/>
            <w:r>
              <w:rPr>
                <w:b/>
                <w:sz w:val="14"/>
              </w:rPr>
              <w:t>Agent orchestration</w:t>
            </w:r>
          </w:p>
        </w:tc>
        <w:tc>
          <w:tcPr>
            <w:tcW w:type="dxa" w:w="1680"/>
            <w:vAlign w:val="center"/>
            <w:shd w:fill="E2F0D9"/>
          </w:tcPr>
          <w:p>
            <w:r/>
            <w:r>
              <w:rPr>
                <w:b w:val="0"/>
                <w:sz w:val="16"/>
              </w:rPr>
              <w:t>17</w:t>
            </w:r>
          </w:p>
        </w:tc>
        <w:tc>
          <w:tcPr>
            <w:tcW w:type="dxa" w:w="1680"/>
            <w:vAlign w:val="center"/>
            <w:shd w:fill="C6E0B4"/>
          </w:tcPr>
          <w:p>
            <w:r/>
            <w:r>
              <w:rPr>
                <w:b w:val="0"/>
                <w:sz w:val="16"/>
              </w:rPr>
              <w:t>19</w:t>
            </w:r>
          </w:p>
        </w:tc>
        <w:tc>
          <w:tcPr>
            <w:tcW w:type="dxa" w:w="1680"/>
            <w:vAlign w:val="center"/>
            <w:shd w:fill="C6E0B4"/>
          </w:tcPr>
          <w:p>
            <w:r/>
            <w:r>
              <w:rPr>
                <w:b w:val="0"/>
                <w:sz w:val="16"/>
              </w:rPr>
              <w:t>20</w:t>
            </w:r>
          </w:p>
        </w:tc>
        <w:tc>
          <w:tcPr>
            <w:tcW w:type="dxa" w:w="1680"/>
            <w:vAlign w:val="center"/>
            <w:shd w:fill="C6E0B4"/>
          </w:tcPr>
          <w:p>
            <w:r/>
            <w:r>
              <w:rPr>
                <w:b w:val="0"/>
                <w:sz w:val="16"/>
              </w:rPr>
              <w:t>20</w:t>
            </w:r>
          </w:p>
        </w:tc>
        <w:tc>
          <w:tcPr>
            <w:tcW w:type="dxa" w:w="1680"/>
            <w:vAlign w:val="center"/>
          </w:tcPr>
          <w:p>
            <w:r/>
            <w:r>
              <w:rPr>
                <w:b w:val="0"/>
                <w:sz w:val="16"/>
              </w:rPr>
              <w:t>12</w:t>
            </w:r>
          </w:p>
        </w:tc>
      </w:tr>
      <w:tr>
        <w:tc>
          <w:tcPr>
            <w:tcW w:type="dxa" w:w="1680"/>
            <w:vAlign w:val="center"/>
          </w:tcPr>
          <w:p>
            <w:r/>
            <w:r>
              <w:rPr>
                <w:b/>
                <w:sz w:val="14"/>
              </w:rPr>
              <w:t>AI governance</w:t>
            </w:r>
          </w:p>
        </w:tc>
        <w:tc>
          <w:tcPr>
            <w:tcW w:type="dxa" w:w="1680"/>
            <w:vAlign w:val="center"/>
            <w:shd w:fill="E2F0D9"/>
          </w:tcPr>
          <w:p>
            <w:r/>
            <w:r>
              <w:rPr>
                <w:b w:val="0"/>
                <w:sz w:val="16"/>
              </w:rPr>
              <w:t>18</w:t>
            </w:r>
          </w:p>
        </w:tc>
        <w:tc>
          <w:tcPr>
            <w:tcW w:type="dxa" w:w="1680"/>
            <w:vAlign w:val="center"/>
            <w:shd w:fill="C6E0B4"/>
          </w:tcPr>
          <w:p>
            <w:r/>
            <w:r>
              <w:rPr>
                <w:b w:val="0"/>
                <w:sz w:val="16"/>
              </w:rPr>
              <w:t>19</w:t>
            </w:r>
          </w:p>
        </w:tc>
        <w:tc>
          <w:tcPr>
            <w:tcW w:type="dxa" w:w="1680"/>
            <w:vAlign w:val="center"/>
            <w:shd w:fill="C6E0B4"/>
          </w:tcPr>
          <w:p>
            <w:r/>
            <w:r>
              <w:rPr>
                <w:b w:val="0"/>
                <w:sz w:val="16"/>
              </w:rPr>
              <w:t>20</w:t>
            </w:r>
          </w:p>
        </w:tc>
        <w:tc>
          <w:tcPr>
            <w:tcW w:type="dxa" w:w="1680"/>
            <w:vAlign w:val="center"/>
            <w:shd w:fill="C6E0B4"/>
          </w:tcPr>
          <w:p>
            <w:r/>
            <w:r>
              <w:rPr>
                <w:b w:val="0"/>
                <w:sz w:val="16"/>
              </w:rPr>
              <w:t>19</w:t>
            </w:r>
          </w:p>
        </w:tc>
        <w:tc>
          <w:tcPr>
            <w:tcW w:type="dxa" w:w="1680"/>
            <w:vAlign w:val="center"/>
            <w:shd w:fill="C6E0B4"/>
          </w:tcPr>
          <w:p>
            <w:r/>
            <w:r>
              <w:rPr>
                <w:b w:val="0"/>
                <w:sz w:val="16"/>
              </w:rPr>
              <w:t>19</w:t>
            </w:r>
          </w:p>
        </w:tc>
      </w:tr>
      <w:tr>
        <w:tc>
          <w:tcPr>
            <w:tcW w:type="dxa" w:w="1680"/>
            <w:vAlign w:val="center"/>
          </w:tcPr>
          <w:p>
            <w:r/>
            <w:r>
              <w:rPr>
                <w:b/>
                <w:sz w:val="14"/>
              </w:rPr>
              <w:t>Identity and authorization</w:t>
            </w:r>
          </w:p>
        </w:tc>
        <w:tc>
          <w:tcPr>
            <w:tcW w:type="dxa" w:w="1680"/>
            <w:vAlign w:val="center"/>
            <w:shd w:fill="C6E0B4"/>
          </w:tcPr>
          <w:p>
            <w:r/>
            <w:r>
              <w:rPr>
                <w:b w:val="0"/>
                <w:sz w:val="16"/>
              </w:rPr>
              <w:t>19</w:t>
            </w:r>
          </w:p>
        </w:tc>
        <w:tc>
          <w:tcPr>
            <w:tcW w:type="dxa" w:w="1680"/>
            <w:vAlign w:val="center"/>
            <w:shd w:fill="C6E0B4"/>
          </w:tcPr>
          <w:p>
            <w:r/>
            <w:r>
              <w:rPr>
                <w:b w:val="0"/>
                <w:sz w:val="16"/>
              </w:rPr>
              <w:t>19</w:t>
            </w:r>
          </w:p>
        </w:tc>
        <w:tc>
          <w:tcPr>
            <w:tcW w:type="dxa" w:w="1680"/>
            <w:vAlign w:val="center"/>
            <w:shd w:fill="C6E0B4"/>
          </w:tcPr>
          <w:p>
            <w:r/>
            <w:r>
              <w:rPr>
                <w:b w:val="0"/>
                <w:sz w:val="16"/>
              </w:rPr>
              <w:t>20</w:t>
            </w:r>
          </w:p>
        </w:tc>
        <w:tc>
          <w:tcPr>
            <w:tcW w:type="dxa" w:w="1680"/>
            <w:vAlign w:val="center"/>
            <w:shd w:fill="C6E0B4"/>
          </w:tcPr>
          <w:p>
            <w:r/>
            <w:r>
              <w:rPr>
                <w:b w:val="0"/>
                <w:sz w:val="16"/>
              </w:rPr>
              <w:t>19</w:t>
            </w:r>
          </w:p>
        </w:tc>
        <w:tc>
          <w:tcPr>
            <w:tcW w:type="dxa" w:w="1680"/>
            <w:vAlign w:val="center"/>
            <w:shd w:fill="E2F0D9"/>
          </w:tcPr>
          <w:p>
            <w:r/>
            <w:r>
              <w:rPr>
                <w:b w:val="0"/>
                <w:sz w:val="16"/>
              </w:rPr>
              <w:t>18</w:t>
            </w:r>
          </w:p>
        </w:tc>
      </w:tr>
      <w:tr>
        <w:tc>
          <w:tcPr>
            <w:tcW w:type="dxa" w:w="1680"/>
            <w:vAlign w:val="center"/>
          </w:tcPr>
          <w:p>
            <w:r/>
            <w:r>
              <w:rPr>
                <w:b/>
                <w:sz w:val="14"/>
              </w:rPr>
              <w:t>Pre-write policy enforcement</w:t>
            </w:r>
          </w:p>
        </w:tc>
        <w:tc>
          <w:tcPr>
            <w:tcW w:type="dxa" w:w="1680"/>
            <w:vAlign w:val="center"/>
          </w:tcPr>
          <w:p>
            <w:r/>
            <w:r>
              <w:rPr>
                <w:b w:val="0"/>
                <w:sz w:val="16"/>
              </w:rPr>
              <w:t>15</w:t>
            </w:r>
          </w:p>
        </w:tc>
        <w:tc>
          <w:tcPr>
            <w:tcW w:type="dxa" w:w="1680"/>
            <w:vAlign w:val="center"/>
            <w:shd w:fill="E2F0D9"/>
          </w:tcPr>
          <w:p>
            <w:r/>
            <w:r>
              <w:rPr>
                <w:b w:val="0"/>
                <w:sz w:val="16"/>
              </w:rPr>
              <w:t>17</w:t>
            </w:r>
          </w:p>
        </w:tc>
        <w:tc>
          <w:tcPr>
            <w:tcW w:type="dxa" w:w="1680"/>
            <w:vAlign w:val="center"/>
          </w:tcPr>
          <w:p>
            <w:r/>
            <w:r>
              <w:rPr>
                <w:b w:val="0"/>
                <w:sz w:val="16"/>
              </w:rPr>
              <w:t>14</w:t>
            </w:r>
          </w:p>
        </w:tc>
        <w:tc>
          <w:tcPr>
            <w:tcW w:type="dxa" w:w="1680"/>
            <w:vAlign w:val="center"/>
          </w:tcPr>
          <w:p>
            <w:r/>
            <w:r>
              <w:rPr>
                <w:b w:val="0"/>
                <w:sz w:val="16"/>
              </w:rPr>
              <w:t>15</w:t>
            </w:r>
          </w:p>
        </w:tc>
        <w:tc>
          <w:tcPr>
            <w:tcW w:type="dxa" w:w="1680"/>
            <w:vAlign w:val="center"/>
            <w:shd w:fill="C6E0B4"/>
          </w:tcPr>
          <w:p>
            <w:r/>
            <w:r>
              <w:rPr>
                <w:b w:val="0"/>
                <w:sz w:val="16"/>
              </w:rPr>
              <w:t>20</w:t>
            </w:r>
          </w:p>
        </w:tc>
      </w:tr>
      <w:tr>
        <w:tc>
          <w:tcPr>
            <w:tcW w:type="dxa" w:w="1680"/>
            <w:vAlign w:val="center"/>
          </w:tcPr>
          <w:p>
            <w:r/>
            <w:r>
              <w:rPr>
                <w:b/>
                <w:sz w:val="14"/>
              </w:rPr>
              <w:t>State-transition validation</w:t>
            </w:r>
          </w:p>
        </w:tc>
        <w:tc>
          <w:tcPr>
            <w:tcW w:type="dxa" w:w="1680"/>
            <w:vAlign w:val="center"/>
            <w:shd w:fill="E2F0D9"/>
          </w:tcPr>
          <w:p>
            <w:r/>
            <w:r>
              <w:rPr>
                <w:b w:val="0"/>
                <w:sz w:val="16"/>
              </w:rPr>
              <w:t>16</w:t>
            </w:r>
          </w:p>
        </w:tc>
        <w:tc>
          <w:tcPr>
            <w:tcW w:type="dxa" w:w="1680"/>
            <w:vAlign w:val="center"/>
            <w:shd w:fill="E2F0D9"/>
          </w:tcPr>
          <w:p>
            <w:r/>
            <w:r>
              <w:rPr>
                <w:b w:val="0"/>
                <w:sz w:val="16"/>
              </w:rPr>
              <w:t>17</w:t>
            </w:r>
          </w:p>
        </w:tc>
        <w:tc>
          <w:tcPr>
            <w:tcW w:type="dxa" w:w="1680"/>
            <w:vAlign w:val="center"/>
          </w:tcPr>
          <w:p>
            <w:r/>
            <w:r>
              <w:rPr>
                <w:b w:val="0"/>
                <w:sz w:val="16"/>
              </w:rPr>
              <w:t>13</w:t>
            </w:r>
          </w:p>
        </w:tc>
        <w:tc>
          <w:tcPr>
            <w:tcW w:type="dxa" w:w="1680"/>
            <w:vAlign w:val="center"/>
          </w:tcPr>
          <w:p>
            <w:r/>
            <w:r>
              <w:rPr>
                <w:b w:val="0"/>
                <w:sz w:val="16"/>
              </w:rPr>
              <w:t>14</w:t>
            </w:r>
          </w:p>
        </w:tc>
        <w:tc>
          <w:tcPr>
            <w:tcW w:type="dxa" w:w="1680"/>
            <w:vAlign w:val="center"/>
            <w:shd w:fill="C6E0B4"/>
          </w:tcPr>
          <w:p>
            <w:r/>
            <w:r>
              <w:rPr>
                <w:b w:val="0"/>
                <w:sz w:val="16"/>
              </w:rPr>
              <w:t>20</w:t>
            </w:r>
          </w:p>
        </w:tc>
      </w:tr>
      <w:tr>
        <w:tc>
          <w:tcPr>
            <w:tcW w:type="dxa" w:w="1680"/>
            <w:vAlign w:val="center"/>
          </w:tcPr>
          <w:p>
            <w:r/>
            <w:r>
              <w:rPr>
                <w:b/>
                <w:sz w:val="14"/>
              </w:rPr>
              <w:t>Immutable auditability</w:t>
            </w:r>
          </w:p>
        </w:tc>
        <w:tc>
          <w:tcPr>
            <w:tcW w:type="dxa" w:w="1680"/>
            <w:vAlign w:val="center"/>
            <w:shd w:fill="E2F0D9"/>
          </w:tcPr>
          <w:p>
            <w:r/>
            <w:r>
              <w:rPr>
                <w:b w:val="0"/>
                <w:sz w:val="16"/>
              </w:rPr>
              <w:t>18</w:t>
            </w:r>
          </w:p>
        </w:tc>
        <w:tc>
          <w:tcPr>
            <w:tcW w:type="dxa" w:w="1680"/>
            <w:vAlign w:val="center"/>
            <w:shd w:fill="E2F0D9"/>
          </w:tcPr>
          <w:p>
            <w:r/>
            <w:r>
              <w:rPr>
                <w:b w:val="0"/>
                <w:sz w:val="16"/>
              </w:rPr>
              <w:t>18</w:t>
            </w:r>
          </w:p>
        </w:tc>
        <w:tc>
          <w:tcPr>
            <w:tcW w:type="dxa" w:w="1680"/>
            <w:vAlign w:val="center"/>
            <w:shd w:fill="E2F0D9"/>
          </w:tcPr>
          <w:p>
            <w:r/>
            <w:r>
              <w:rPr>
                <w:b w:val="0"/>
                <w:sz w:val="16"/>
              </w:rPr>
              <w:t>18</w:t>
            </w:r>
          </w:p>
        </w:tc>
        <w:tc>
          <w:tcPr>
            <w:tcW w:type="dxa" w:w="1680"/>
            <w:vAlign w:val="center"/>
            <w:shd w:fill="E2F0D9"/>
          </w:tcPr>
          <w:p>
            <w:r/>
            <w:r>
              <w:rPr>
                <w:b w:val="0"/>
                <w:sz w:val="16"/>
              </w:rPr>
              <w:t>17</w:t>
            </w:r>
          </w:p>
        </w:tc>
        <w:tc>
          <w:tcPr>
            <w:tcW w:type="dxa" w:w="1680"/>
            <w:vAlign w:val="center"/>
            <w:shd w:fill="C6E0B4"/>
          </w:tcPr>
          <w:p>
            <w:r/>
            <w:r>
              <w:rPr>
                <w:b w:val="0"/>
                <w:sz w:val="16"/>
              </w:rPr>
              <w:t>20</w:t>
            </w:r>
          </w:p>
        </w:tc>
      </w:tr>
      <w:tr>
        <w:tc>
          <w:tcPr>
            <w:tcW w:type="dxa" w:w="1680"/>
            <w:vAlign w:val="center"/>
          </w:tcPr>
          <w:p>
            <w:r/>
            <w:r>
              <w:rPr>
                <w:b/>
                <w:sz w:val="14"/>
              </w:rPr>
              <w:t>Deterministic execution</w:t>
            </w:r>
          </w:p>
        </w:tc>
        <w:tc>
          <w:tcPr>
            <w:tcW w:type="dxa" w:w="1680"/>
            <w:vAlign w:val="center"/>
          </w:tcPr>
          <w:p>
            <w:r/>
            <w:r>
              <w:rPr>
                <w:b w:val="0"/>
                <w:sz w:val="16"/>
              </w:rPr>
              <w:t>15</w:t>
            </w:r>
          </w:p>
        </w:tc>
        <w:tc>
          <w:tcPr>
            <w:tcW w:type="dxa" w:w="1680"/>
            <w:vAlign w:val="center"/>
            <w:shd w:fill="E2F0D9"/>
          </w:tcPr>
          <w:p>
            <w:r/>
            <w:r>
              <w:rPr>
                <w:b w:val="0"/>
                <w:sz w:val="16"/>
              </w:rPr>
              <w:t>17</w:t>
            </w:r>
          </w:p>
        </w:tc>
        <w:tc>
          <w:tcPr>
            <w:tcW w:type="dxa" w:w="1680"/>
            <w:vAlign w:val="center"/>
          </w:tcPr>
          <w:p>
            <w:r/>
            <w:r>
              <w:rPr>
                <w:b w:val="0"/>
                <w:sz w:val="16"/>
              </w:rPr>
              <w:t>13</w:t>
            </w:r>
          </w:p>
        </w:tc>
        <w:tc>
          <w:tcPr>
            <w:tcW w:type="dxa" w:w="1680"/>
            <w:vAlign w:val="center"/>
          </w:tcPr>
          <w:p>
            <w:r/>
            <w:r>
              <w:rPr>
                <w:b w:val="0"/>
                <w:sz w:val="16"/>
              </w:rPr>
              <w:t>14</w:t>
            </w:r>
          </w:p>
        </w:tc>
        <w:tc>
          <w:tcPr>
            <w:tcW w:type="dxa" w:w="1680"/>
            <w:vAlign w:val="center"/>
            <w:shd w:fill="C6E0B4"/>
          </w:tcPr>
          <w:p>
            <w:r/>
            <w:r>
              <w:rPr>
                <w:b w:val="0"/>
                <w:sz w:val="16"/>
              </w:rPr>
              <w:t>20</w:t>
            </w:r>
          </w:p>
        </w:tc>
      </w:tr>
      <w:tr>
        <w:tc>
          <w:tcPr>
            <w:tcW w:type="dxa" w:w="1680"/>
            <w:vAlign w:val="center"/>
          </w:tcPr>
          <w:p>
            <w:r/>
            <w:r>
              <w:rPr>
                <w:b/>
                <w:sz w:val="14"/>
              </w:rPr>
              <w:t>Drift detection</w:t>
            </w:r>
          </w:p>
        </w:tc>
        <w:tc>
          <w:tcPr>
            <w:tcW w:type="dxa" w:w="1680"/>
            <w:vAlign w:val="center"/>
            <w:shd w:fill="E2F0D9"/>
          </w:tcPr>
          <w:p>
            <w:r/>
            <w:r>
              <w:rPr>
                <w:b w:val="0"/>
                <w:sz w:val="16"/>
              </w:rPr>
              <w:t>17</w:t>
            </w:r>
          </w:p>
        </w:tc>
        <w:tc>
          <w:tcPr>
            <w:tcW w:type="dxa" w:w="1680"/>
            <w:vAlign w:val="center"/>
            <w:shd w:fill="E2F0D9"/>
          </w:tcPr>
          <w:p>
            <w:r/>
            <w:r>
              <w:rPr>
                <w:b w:val="0"/>
                <w:sz w:val="16"/>
              </w:rPr>
              <w:t>16</w:t>
            </w:r>
          </w:p>
        </w:tc>
        <w:tc>
          <w:tcPr>
            <w:tcW w:type="dxa" w:w="1680"/>
            <w:vAlign w:val="center"/>
            <w:shd w:fill="C6E0B4"/>
          </w:tcPr>
          <w:p>
            <w:r/>
            <w:r>
              <w:rPr>
                <w:b w:val="0"/>
                <w:sz w:val="16"/>
              </w:rPr>
              <w:t>19</w:t>
            </w:r>
          </w:p>
        </w:tc>
        <w:tc>
          <w:tcPr>
            <w:tcW w:type="dxa" w:w="1680"/>
            <w:vAlign w:val="center"/>
            <w:shd w:fill="E2F0D9"/>
          </w:tcPr>
          <w:p>
            <w:r/>
            <w:r>
              <w:rPr>
                <w:b w:val="0"/>
                <w:sz w:val="16"/>
              </w:rPr>
              <w:t>16</w:t>
            </w:r>
          </w:p>
        </w:tc>
        <w:tc>
          <w:tcPr>
            <w:tcW w:type="dxa" w:w="1680"/>
            <w:vAlign w:val="center"/>
            <w:shd w:fill="C6E0B4"/>
          </w:tcPr>
          <w:p>
            <w:r/>
            <w:r>
              <w:rPr>
                <w:b w:val="0"/>
                <w:sz w:val="16"/>
              </w:rPr>
              <w:t>19</w:t>
            </w:r>
          </w:p>
        </w:tc>
      </w:tr>
      <w:tr>
        <w:tc>
          <w:tcPr>
            <w:tcW w:type="dxa" w:w="1680"/>
            <w:vAlign w:val="center"/>
          </w:tcPr>
          <w:p>
            <w:r/>
            <w:r>
              <w:rPr>
                <w:b/>
                <w:sz w:val="14"/>
              </w:rPr>
              <w:t>Human oversight</w:t>
            </w:r>
          </w:p>
        </w:tc>
        <w:tc>
          <w:tcPr>
            <w:tcW w:type="dxa" w:w="1680"/>
            <w:vAlign w:val="center"/>
            <w:shd w:fill="C6E0B4"/>
          </w:tcPr>
          <w:p>
            <w:r/>
            <w:r>
              <w:rPr>
                <w:b w:val="0"/>
                <w:sz w:val="16"/>
              </w:rPr>
              <w:t>19</w:t>
            </w:r>
          </w:p>
        </w:tc>
        <w:tc>
          <w:tcPr>
            <w:tcW w:type="dxa" w:w="1680"/>
            <w:vAlign w:val="center"/>
            <w:shd w:fill="C6E0B4"/>
          </w:tcPr>
          <w:p>
            <w:r/>
            <w:r>
              <w:rPr>
                <w:b w:val="0"/>
                <w:sz w:val="16"/>
              </w:rPr>
              <w:t>19</w:t>
            </w:r>
          </w:p>
        </w:tc>
        <w:tc>
          <w:tcPr>
            <w:tcW w:type="dxa" w:w="1680"/>
            <w:vAlign w:val="center"/>
            <w:shd w:fill="C6E0B4"/>
          </w:tcPr>
          <w:p>
            <w:r/>
            <w:r>
              <w:rPr>
                <w:b w:val="0"/>
                <w:sz w:val="16"/>
              </w:rPr>
              <w:t>19</w:t>
            </w:r>
          </w:p>
        </w:tc>
        <w:tc>
          <w:tcPr>
            <w:tcW w:type="dxa" w:w="1680"/>
            <w:vAlign w:val="center"/>
            <w:shd w:fill="C6E0B4"/>
          </w:tcPr>
          <w:p>
            <w:r/>
            <w:r>
              <w:rPr>
                <w:b w:val="0"/>
                <w:sz w:val="16"/>
              </w:rPr>
              <w:t>19</w:t>
            </w:r>
          </w:p>
        </w:tc>
        <w:tc>
          <w:tcPr>
            <w:tcW w:type="dxa" w:w="1680"/>
            <w:vAlign w:val="center"/>
            <w:shd w:fill="E2F0D9"/>
          </w:tcPr>
          <w:p>
            <w:r/>
            <w:r>
              <w:rPr>
                <w:b w:val="0"/>
                <w:sz w:val="16"/>
              </w:rPr>
              <w:t>17</w:t>
            </w:r>
          </w:p>
        </w:tc>
      </w:tr>
      <w:tr>
        <w:tc>
          <w:tcPr>
            <w:tcW w:type="dxa" w:w="1680"/>
            <w:vAlign w:val="center"/>
          </w:tcPr>
          <w:p>
            <w:r/>
            <w:r>
              <w:rPr>
                <w:b/>
                <w:sz w:val="14"/>
              </w:rPr>
              <w:t>Manufacturing operational depth</w:t>
            </w:r>
          </w:p>
        </w:tc>
        <w:tc>
          <w:tcPr>
            <w:tcW w:type="dxa" w:w="1680"/>
            <w:vAlign w:val="center"/>
            <w:shd w:fill="C6E0B4"/>
          </w:tcPr>
          <w:p>
            <w:r/>
            <w:r>
              <w:rPr>
                <w:b w:val="0"/>
                <w:sz w:val="16"/>
              </w:rPr>
              <w:t>19</w:t>
            </w:r>
          </w:p>
        </w:tc>
        <w:tc>
          <w:tcPr>
            <w:tcW w:type="dxa" w:w="1680"/>
            <w:vAlign w:val="center"/>
            <w:shd w:fill="E2F0D9"/>
          </w:tcPr>
          <w:p>
            <w:r/>
            <w:r>
              <w:rPr>
                <w:b w:val="0"/>
                <w:sz w:val="16"/>
              </w:rPr>
              <w:t>18</w:t>
            </w:r>
          </w:p>
        </w:tc>
        <w:tc>
          <w:tcPr>
            <w:tcW w:type="dxa" w:w="1680"/>
            <w:vAlign w:val="center"/>
          </w:tcPr>
          <w:p>
            <w:r/>
            <w:r>
              <w:rPr>
                <w:b w:val="0"/>
                <w:sz w:val="16"/>
              </w:rPr>
              <w:t>13</w:t>
            </w:r>
          </w:p>
        </w:tc>
        <w:tc>
          <w:tcPr>
            <w:tcW w:type="dxa" w:w="1680"/>
            <w:vAlign w:val="center"/>
            <w:shd w:fill="FCE4D6"/>
          </w:tcPr>
          <w:p>
            <w:r/>
            <w:r>
              <w:rPr>
                <w:b w:val="0"/>
                <w:sz w:val="16"/>
              </w:rPr>
              <w:t>10</w:t>
            </w:r>
          </w:p>
        </w:tc>
        <w:tc>
          <w:tcPr>
            <w:tcW w:type="dxa" w:w="1680"/>
            <w:vAlign w:val="center"/>
            <w:shd w:fill="E2F0D9"/>
          </w:tcPr>
          <w:p>
            <w:r/>
            <w:r>
              <w:rPr>
                <w:b w:val="0"/>
                <w:sz w:val="16"/>
              </w:rPr>
              <w:t>18</w:t>
            </w:r>
          </w:p>
        </w:tc>
      </w:tr>
    </w:tbl>
    <w:p/>
    <w:p>
      <w:pPr>
        <w:pStyle w:val="Heading2"/>
      </w:pPr>
      <w:r>
        <w:t>2.1 Aggregate interpretation</w:t>
      </w:r>
    </w:p>
    <w:p>
      <w:pPr>
        <w:pStyle w:val="ListBullet"/>
      </w:pPr>
      <w:r>
        <w:t>SAP: 17.9/20 average across the 24 conditions.</w:t>
      </w:r>
    </w:p>
    <w:p>
      <w:pPr>
        <w:pStyle w:val="ListBullet"/>
      </w:pPr>
      <w:r>
        <w:t>Oracle: 18.0/20 average across the 24 conditions.</w:t>
      </w:r>
    </w:p>
    <w:p>
      <w:pPr>
        <w:pStyle w:val="ListBullet"/>
      </w:pPr>
      <w:r>
        <w:t>Microsoft: 17.3/20 average across the 24 conditions.</w:t>
      </w:r>
    </w:p>
    <w:p>
      <w:pPr>
        <w:pStyle w:val="ListBullet"/>
      </w:pPr>
      <w:r>
        <w:t>Salesforce: 16.6/20 average across the 24 conditions.</w:t>
      </w:r>
    </w:p>
    <w:p>
      <w:pPr>
        <w:pStyle w:val="ListBullet"/>
      </w:pPr>
      <w:r>
        <w:t>Mimir Labs: 17.8/20 average across the 24 conditions.</w:t>
      </w:r>
    </w:p>
    <w:p>
      <w:r>
        <w:t>Aggregate averages conceal the central finding. The incumbent platforms achieve broad, relatively even capability profiles. Mimir Labs has a sharper profile: exceptional scores in the execution-governance cluster, weaker scores in connector breadth, agent tooling and commercial deployment maturity. The radar shape is therefore more informative than the average.</w:t>
      </w:r>
    </w:p>
    <w:p>
      <w:pPr>
        <w:pStyle w:val="Heading2"/>
      </w:pPr>
      <w:r>
        <w:t>3.1 Canonical semantic model</w:t>
      </w:r>
    </w:p>
    <w:p>
      <w:r>
        <w:rPr>
          <w:b/>
        </w:rPr>
        <w:t xml:space="preserve">Comparative score: </w:t>
      </w:r>
      <w:r>
        <w:t>SAP 18 | Oracle 18 | Microsoft 16 | Salesforce 17 | Mimir Labs 20</w:t>
      </w:r>
    </w:p>
    <w:p>
      <w:pPr>
        <w:spacing w:after="60"/>
      </w:pPr>
      <w:r>
        <w:rPr>
          <w:b/>
        </w:rPr>
        <w:t xml:space="preserve">SAP - 18/20. </w:t>
      </w:r>
      <w:r>
        <w:t>SAP provides strong business semantics through S/4HANA, Datasphere and Business Data Cloud, but canonicality remains distributed across products, domains and implementation choices.</w:t>
      </w:r>
    </w:p>
    <w:p>
      <w:pPr>
        <w:spacing w:after="60"/>
      </w:pPr>
      <w:r>
        <w:rPr>
          <w:b/>
        </w:rPr>
        <w:t xml:space="preserve">Oracle - 18/20. </w:t>
      </w:r>
      <w:r>
        <w:t>Fusion's unified application data model and Oracle Database metadata provide strong semantic consistency, though enterprise-wide canonicality still depends on Oracle application scope and implementation discipline.</w:t>
      </w:r>
    </w:p>
    <w:p>
      <w:pPr>
        <w:spacing w:after="60"/>
      </w:pPr>
      <w:r>
        <w:rPr>
          <w:b/>
        </w:rPr>
        <w:t xml:space="preserve">Microsoft - 16/20. </w:t>
      </w:r>
      <w:r>
        <w:t>Fabric semantic models, Dataverse and Common Data Model provide broad modeling tools, but no single mandatory operational ontology governs the entire Microsoft estate.</w:t>
      </w:r>
    </w:p>
    <w:p>
      <w:pPr>
        <w:spacing w:after="60"/>
      </w:pPr>
      <w:r>
        <w:rPr>
          <w:b/>
        </w:rPr>
        <w:t xml:space="preserve">Salesforce - 17/20. </w:t>
      </w:r>
      <w:r>
        <w:t>Data 360 and Salesforce metadata create a coherent customer-domain model, but canonical depth is strongest in CRM and customer data rather than the full enterprise operating model.</w:t>
      </w:r>
    </w:p>
    <w:p>
      <w:pPr>
        <w:spacing w:after="60"/>
      </w:pPr>
      <w:r>
        <w:rPr>
          <w:b/>
        </w:rPr>
        <w:t xml:space="preserve">Mimir Labs - 20/20. </w:t>
      </w:r>
      <w:r>
        <w:t>Canonical semantics are the organizing principle of the stack: all governed records resolve to Mimisbrunnr definitions and Yggdrasil treats them as authoritative.</w:t>
      </w:r>
    </w:p>
    <w:p>
      <w:pPr>
        <w:pStyle w:val="Heading2"/>
      </w:pPr>
      <w:r>
        <w:t>3.2 Data discovery</w:t>
      </w:r>
    </w:p>
    <w:p>
      <w:r>
        <w:rPr>
          <w:b/>
        </w:rPr>
        <w:t xml:space="preserve">Comparative score: </w:t>
      </w:r>
      <w:r>
        <w:t>SAP 17 | Oracle 16 | Microsoft 19 | Salesforce 17 | Mimir Labs 18</w:t>
      </w:r>
    </w:p>
    <w:p>
      <w:pPr>
        <w:spacing w:after="60"/>
      </w:pPr>
      <w:r>
        <w:rPr>
          <w:b/>
        </w:rPr>
        <w:t xml:space="preserve">SAP - 17/20. </w:t>
      </w:r>
      <w:r>
        <w:t>SAP offers extensive cataloging, metadata and landscape discovery capabilities, especially in Datasphere and Business Data Cloud, with some dependence on product configuration and partners.</w:t>
      </w:r>
    </w:p>
    <w:p>
      <w:pPr>
        <w:spacing w:after="60"/>
      </w:pPr>
      <w:r>
        <w:rPr>
          <w:b/>
        </w:rPr>
        <w:t xml:space="preserve">Oracle - 16/20. </w:t>
      </w:r>
      <w:r>
        <w:t>Oracle provides catalog, metadata and discovery across database, analytics and Fusion estates, but the experience is less unified across heterogeneous third-party systems than Microsoft's.</w:t>
      </w:r>
    </w:p>
    <w:p>
      <w:pPr>
        <w:spacing w:after="60"/>
      </w:pPr>
      <w:r>
        <w:rPr>
          <w:b/>
        </w:rPr>
        <w:t xml:space="preserve">Microsoft - 19/20. </w:t>
      </w:r>
      <w:r>
        <w:t>Purview's estate-wide scanning, classification and cataloging give Microsoft the strongest broad discovery posture among the compared vendors.</w:t>
      </w:r>
    </w:p>
    <w:p>
      <w:pPr>
        <w:spacing w:after="60"/>
      </w:pPr>
      <w:r>
        <w:rPr>
          <w:b/>
        </w:rPr>
        <w:t xml:space="preserve">Salesforce - 17/20. </w:t>
      </w:r>
      <w:r>
        <w:t>Salesforce discovers and unifies customer and engagement data effectively, but broad infrastructure and non-customer operational discovery is not its primary design center.</w:t>
      </w:r>
    </w:p>
    <w:p>
      <w:pPr>
        <w:spacing w:after="60"/>
      </w:pPr>
      <w:r>
        <w:rPr>
          <w:b/>
        </w:rPr>
        <w:t xml:space="preserve">Mimir Labs - 18/20. </w:t>
      </w:r>
      <w:r>
        <w:t>Ratatosk is purpose-built to scan schemas, BI models, structured exports and undocumented data relationships, but connector coverage and production deployment breadth remain limited.</w:t>
      </w:r>
    </w:p>
    <w:p>
      <w:pPr>
        <w:pStyle w:val="Heading2"/>
      </w:pPr>
      <w:r>
        <w:t>3.3 Data lineage</w:t>
      </w:r>
    </w:p>
    <w:p>
      <w:r>
        <w:rPr>
          <w:b/>
        </w:rPr>
        <w:t xml:space="preserve">Comparative score: </w:t>
      </w:r>
      <w:r>
        <w:t>SAP 18 | Oracle 17 | Microsoft 20 | Salesforce 16 | Mimir Labs 17</w:t>
      </w:r>
    </w:p>
    <w:p>
      <w:pPr>
        <w:spacing w:after="60"/>
      </w:pPr>
      <w:r>
        <w:rPr>
          <w:b/>
        </w:rPr>
        <w:t xml:space="preserve">SAP - 18/20. </w:t>
      </w:r>
      <w:r>
        <w:t>SAP provides mature lineage across analytics, data products and SAP application landscapes, with strong visibility where SAP-managed metadata is available.</w:t>
      </w:r>
    </w:p>
    <w:p>
      <w:pPr>
        <w:spacing w:after="60"/>
      </w:pPr>
      <w:r>
        <w:rPr>
          <w:b/>
        </w:rPr>
        <w:t xml:space="preserve">Oracle - 17/20. </w:t>
      </w:r>
      <w:r>
        <w:t>Oracle lineage is mature across database, analytics and cloud data services, although cross-vendor application lineage can require additional tooling.</w:t>
      </w:r>
    </w:p>
    <w:p>
      <w:pPr>
        <w:spacing w:after="60"/>
      </w:pPr>
      <w:r>
        <w:rPr>
          <w:b/>
        </w:rPr>
        <w:t xml:space="preserve">Microsoft - 20/20. </w:t>
      </w:r>
      <w:r>
        <w:t>Purview and Fabric provide end-to-end lineage from sources through pipelines, models and Power BI, giving Microsoft the highest score in this category.</w:t>
      </w:r>
    </w:p>
    <w:p>
      <w:pPr>
        <w:spacing w:after="60"/>
      </w:pPr>
      <w:r>
        <w:rPr>
          <w:b/>
        </w:rPr>
        <w:t xml:space="preserve">Salesforce - 16/20. </w:t>
      </w:r>
      <w:r>
        <w:t>Salesforce has strong metadata and data-flow observability inside its platform, but full operational lineage across external systems is less comprehensive.</w:t>
      </w:r>
    </w:p>
    <w:p>
      <w:pPr>
        <w:spacing w:after="60"/>
      </w:pPr>
      <w:r>
        <w:rPr>
          <w:b/>
        </w:rPr>
        <w:t xml:space="preserve">Mimir Labs - 17/20. </w:t>
      </w:r>
      <w:r>
        <w:t>The architecture requires observable integrations and topology mapping, but continuous lineage across a large production connector estate is not yet demonstrated at incumbent scale.</w:t>
      </w:r>
    </w:p>
    <w:p>
      <w:pPr>
        <w:pStyle w:val="Heading2"/>
      </w:pPr>
      <w:r>
        <w:t>3.4 Master data governance</w:t>
      </w:r>
    </w:p>
    <w:p>
      <w:r>
        <w:rPr>
          <w:b/>
        </w:rPr>
        <w:t xml:space="preserve">Comparative score: </w:t>
      </w:r>
      <w:r>
        <w:t>SAP 20 | Oracle 19 | Microsoft 16 | Salesforce 18 | Mimir Labs 19</w:t>
      </w:r>
    </w:p>
    <w:p>
      <w:pPr>
        <w:spacing w:after="60"/>
      </w:pPr>
      <w:r>
        <w:rPr>
          <w:b/>
        </w:rPr>
        <w:t xml:space="preserve">SAP - 20/20. </w:t>
      </w:r>
      <w:r>
        <w:t>SAP Master Data Governance is a category-leading, domain-rich product with mature workflows, stewardship and integration into core enterprise processes.</w:t>
      </w:r>
    </w:p>
    <w:p>
      <w:pPr>
        <w:spacing w:after="60"/>
      </w:pPr>
      <w:r>
        <w:rPr>
          <w:b/>
        </w:rPr>
        <w:t xml:space="preserve">Oracle - 19/20. </w:t>
      </w:r>
      <w:r>
        <w:t>Oracle supplies substantial product, customer, supplier and financial master-data controls within Fusion, with strong application-native governance.</w:t>
      </w:r>
    </w:p>
    <w:p>
      <w:pPr>
        <w:spacing w:after="60"/>
      </w:pPr>
      <w:r>
        <w:rPr>
          <w:b/>
        </w:rPr>
        <w:t xml:space="preserve">Microsoft - 16/20. </w:t>
      </w:r>
      <w:r>
        <w:t>Dataverse, Purview and partner products can support master-data programs, but Microsoft lacks one comparably dominant native enterprise MDM application.</w:t>
      </w:r>
    </w:p>
    <w:p>
      <w:pPr>
        <w:spacing w:after="60"/>
      </w:pPr>
      <w:r>
        <w:rPr>
          <w:b/>
        </w:rPr>
        <w:t xml:space="preserve">Salesforce - 18/20. </w:t>
      </w:r>
      <w:r>
        <w:t>Salesforce excels at customer identity resolution and unified profiles and supports policy-driven governance, though it is less complete across manufacturing and finance masters.</w:t>
      </w:r>
    </w:p>
    <w:p>
      <w:pPr>
        <w:spacing w:after="60"/>
      </w:pPr>
      <w:r>
        <w:rPr>
          <w:b/>
        </w:rPr>
        <w:t xml:space="preserve">Mimir Labs - 19/20. </w:t>
      </w:r>
      <w:r>
        <w:t>The canonical manifest and Mimisbrunnr model provide strong architectural master-data authority, but stewardship workflows and deployment evidence remain less mature than SAP's.</w:t>
      </w:r>
    </w:p>
    <w:p>
      <w:pPr>
        <w:pStyle w:val="Heading2"/>
      </w:pPr>
      <w:r>
        <w:t>3.5 Data quality enforcement</w:t>
      </w:r>
    </w:p>
    <w:p>
      <w:r>
        <w:rPr>
          <w:b/>
        </w:rPr>
        <w:t xml:space="preserve">Comparative score: </w:t>
      </w:r>
      <w:r>
        <w:t>SAP 17 | Oracle 17 | Microsoft 17 | Salesforce 16 | Mimir Labs 20</w:t>
      </w:r>
    </w:p>
    <w:p>
      <w:pPr>
        <w:spacing w:after="60"/>
      </w:pPr>
      <w:r>
        <w:rPr>
          <w:b/>
        </w:rPr>
        <w:t xml:space="preserve">SAP - 17/20. </w:t>
      </w:r>
      <w:r>
        <w:t>SAP offers mature data-quality, validation and remediation capabilities, but many controls remain configurable and can permit downstream correction patterns.</w:t>
      </w:r>
    </w:p>
    <w:p>
      <w:pPr>
        <w:spacing w:after="60"/>
      </w:pPr>
      <w:r>
        <w:rPr>
          <w:b/>
        </w:rPr>
        <w:t xml:space="preserve">Oracle - 17/20. </w:t>
      </w:r>
      <w:r>
        <w:t>Oracle provides strong validation, data-quality and application controls across Fusion and database services, with significant implementation flexibility.</w:t>
      </w:r>
    </w:p>
    <w:p>
      <w:pPr>
        <w:spacing w:after="60"/>
      </w:pPr>
      <w:r>
        <w:rPr>
          <w:b/>
        </w:rPr>
        <w:t xml:space="preserve">Microsoft - 17/20. </w:t>
      </w:r>
      <w:r>
        <w:t>Fabric, Purview, Dataverse and Power Platform support quality rules and monitoring, but enforcement is distributed across services rather than universally pre-commit.</w:t>
      </w:r>
    </w:p>
    <w:p>
      <w:pPr>
        <w:spacing w:after="60"/>
      </w:pPr>
      <w:r>
        <w:rPr>
          <w:b/>
        </w:rPr>
        <w:t xml:space="preserve">Salesforce - 16/20. </w:t>
      </w:r>
      <w:r>
        <w:t>Salesforce provides validation rules, duplicate management and governed Data 360 policies, but quality enforcement is strongest within Salesforce objects and flows.</w:t>
      </w:r>
    </w:p>
    <w:p>
      <w:pPr>
        <w:spacing w:after="60"/>
      </w:pPr>
      <w:r>
        <w:rPr>
          <w:b/>
        </w:rPr>
        <w:t xml:space="preserve">Mimir Labs - 20/20. </w:t>
      </w:r>
      <w:r>
        <w:t>Strict schema validation, no-coercion parsing and rejection of nonconforming inputs make prevention rather than downstream remediation a first-class rule.</w:t>
      </w:r>
    </w:p>
    <w:p>
      <w:pPr>
        <w:pStyle w:val="Heading2"/>
      </w:pPr>
      <w:r>
        <w:t>3.6 Schema governance</w:t>
      </w:r>
    </w:p>
    <w:p>
      <w:r>
        <w:rPr>
          <w:b/>
        </w:rPr>
        <w:t xml:space="preserve">Comparative score: </w:t>
      </w:r>
      <w:r>
        <w:t>SAP 17 | Oracle 18 | Microsoft 17 | Salesforce 16 | Mimir Labs 20</w:t>
      </w:r>
    </w:p>
    <w:p>
      <w:pPr>
        <w:spacing w:after="60"/>
      </w:pPr>
      <w:r>
        <w:rPr>
          <w:b/>
        </w:rPr>
        <w:t xml:space="preserve">SAP - 17/20. </w:t>
      </w:r>
      <w:r>
        <w:t>SAP strongly governs application schemas and business objects, but extensions, customization and multiple product generations complicate universal schema control.</w:t>
      </w:r>
    </w:p>
    <w:p>
      <w:pPr>
        <w:spacing w:after="60"/>
      </w:pPr>
      <w:r>
        <w:rPr>
          <w:b/>
        </w:rPr>
        <w:t xml:space="preserve">Oracle - 18/20. </w:t>
      </w:r>
      <w:r>
        <w:t>Oracle combines database-grade schema controls with Fusion application metadata, yet customer extensions and heterogeneous estates prevent full uniformity.</w:t>
      </w:r>
    </w:p>
    <w:p>
      <w:pPr>
        <w:spacing w:after="60"/>
      </w:pPr>
      <w:r>
        <w:rPr>
          <w:b/>
        </w:rPr>
        <w:t xml:space="preserve">Microsoft - 17/20. </w:t>
      </w:r>
      <w:r>
        <w:t>Dataverse and Fabric provide strong metadata governance, but the platform's openness means schemas can proliferate across databases, lakes, apps and connectors.</w:t>
      </w:r>
    </w:p>
    <w:p>
      <w:pPr>
        <w:spacing w:after="60"/>
      </w:pPr>
      <w:r>
        <w:rPr>
          <w:b/>
        </w:rPr>
        <w:t xml:space="preserve">Salesforce - 16/20. </w:t>
      </w:r>
      <w:r>
        <w:t>Salesforce metadata is highly governed within an org, though packages, custom objects and external data models introduce variation.</w:t>
      </w:r>
    </w:p>
    <w:p>
      <w:pPr>
        <w:spacing w:after="60"/>
      </w:pPr>
      <w:r>
        <w:rPr>
          <w:b/>
        </w:rPr>
        <w:t xml:space="preserve">Mimir Labs - 20/20. </w:t>
      </w:r>
      <w:r>
        <w:t>A fixed canonical schema, schema-derived contracts and explicit rejection of nonconforming writes make schema governance foundational rather than optional.</w:t>
      </w:r>
    </w:p>
    <w:p>
      <w:pPr>
        <w:pStyle w:val="Heading2"/>
      </w:pPr>
      <w:r>
        <w:t>3.7 Semantic interoperability</w:t>
      </w:r>
    </w:p>
    <w:p>
      <w:r>
        <w:rPr>
          <w:b/>
        </w:rPr>
        <w:t xml:space="preserve">Comparative score: </w:t>
      </w:r>
      <w:r>
        <w:t>SAP 18 | Oracle 17 | Microsoft 18 | Salesforce 17 | Mimir Labs 20</w:t>
      </w:r>
    </w:p>
    <w:p>
      <w:pPr>
        <w:spacing w:after="60"/>
      </w:pPr>
      <w:r>
        <w:rPr>
          <w:b/>
        </w:rPr>
        <w:t xml:space="preserve">SAP - 18/20. </w:t>
      </w:r>
      <w:r>
        <w:t>SAP has broad semantic interoperability through business objects, APIs, Datasphere and partner networks, particularly across SAP-heavy enterprises.</w:t>
      </w:r>
    </w:p>
    <w:p>
      <w:pPr>
        <w:spacing w:after="60"/>
      </w:pPr>
      <w:r>
        <w:rPr>
          <w:b/>
        </w:rPr>
        <w:t xml:space="preserve">Oracle - 17/20. </w:t>
      </w:r>
      <w:r>
        <w:t>Oracle offers strong interoperability within Fusion and Oracle data services, with robust APIs but less neutral semantic authority across non-Oracle applications.</w:t>
      </w:r>
    </w:p>
    <w:p>
      <w:pPr>
        <w:spacing w:after="60"/>
      </w:pPr>
      <w:r>
        <w:rPr>
          <w:b/>
        </w:rPr>
        <w:t xml:space="preserve">Microsoft - 18/20. </w:t>
      </w:r>
      <w:r>
        <w:t>Microsoft supports many formats, connectors and semantic models, but technical interoperability does not always resolve conflicting business definitions.</w:t>
      </w:r>
    </w:p>
    <w:p>
      <w:pPr>
        <w:spacing w:after="60"/>
      </w:pPr>
      <w:r>
        <w:rPr>
          <w:b/>
        </w:rPr>
        <w:t xml:space="preserve">Salesforce - 17/20. </w:t>
      </w:r>
      <w:r>
        <w:t>MuleSoft, Data 360 and platform metadata provide strong customer-centric interoperability, but enterprise ontology coverage is uneven outside CRM domains.</w:t>
      </w:r>
    </w:p>
    <w:p>
      <w:pPr>
        <w:spacing w:after="60"/>
      </w:pPr>
      <w:r>
        <w:rPr>
          <w:b/>
        </w:rPr>
        <w:t xml:space="preserve">Mimir Labs - 20/20. </w:t>
      </w:r>
      <w:r>
        <w:t>Cross-system mappings must resolve to one canonical representation, directly addressing semantic rather than merely syntactic interoperability.</w:t>
      </w:r>
    </w:p>
    <w:p>
      <w:pPr>
        <w:pStyle w:val="Heading2"/>
      </w:pPr>
      <w:r>
        <w:t>3.8 Migration capability</w:t>
      </w:r>
    </w:p>
    <w:p>
      <w:r>
        <w:rPr>
          <w:b/>
        </w:rPr>
        <w:t xml:space="preserve">Comparative score: </w:t>
      </w:r>
      <w:r>
        <w:t>SAP 17 | Oracle 17 | Microsoft 16 | Salesforce 13 | Mimir Labs 16</w:t>
      </w:r>
    </w:p>
    <w:p>
      <w:pPr>
        <w:spacing w:after="60"/>
      </w:pPr>
      <w:r>
        <w:rPr>
          <w:b/>
        </w:rPr>
        <w:t xml:space="preserve">SAP - 17/20. </w:t>
      </w:r>
      <w:r>
        <w:t>SAP has extensive migration tooling, services and partner capacity, though projects remain complex because migration often preserves or recreates semantic inconsistency.</w:t>
      </w:r>
    </w:p>
    <w:p>
      <w:pPr>
        <w:spacing w:after="60"/>
      </w:pPr>
      <w:r>
        <w:rPr>
          <w:b/>
        </w:rPr>
        <w:t xml:space="preserve">Oracle - 17/20. </w:t>
      </w:r>
      <w:r>
        <w:t>Oracle supplies mature cloud migration, database migration and Fusion conversion tooling with substantial implementation expertise.</w:t>
      </w:r>
    </w:p>
    <w:p>
      <w:pPr>
        <w:spacing w:after="60"/>
      </w:pPr>
      <w:r>
        <w:rPr>
          <w:b/>
        </w:rPr>
        <w:t xml:space="preserve">Microsoft - 16/20. </w:t>
      </w:r>
      <w:r>
        <w:t>Microsoft has broad migration services for Azure, Fabric, Dynamics and databases, but no single ontology-first enterprise migration method spans the portfolio.</w:t>
      </w:r>
    </w:p>
    <w:p>
      <w:pPr>
        <w:spacing w:after="60"/>
      </w:pPr>
      <w:r>
        <w:rPr>
          <w:b/>
        </w:rPr>
        <w:t xml:space="preserve">Salesforce - 13/20. </w:t>
      </w:r>
      <w:r>
        <w:t>Salesforce migration tooling is effective for CRM and platform adoption but is not a general-purpose ERP or operational-system migration stack.</w:t>
      </w:r>
    </w:p>
    <w:p>
      <w:pPr>
        <w:spacing w:after="60"/>
      </w:pPr>
      <w:r>
        <w:rPr>
          <w:b/>
        </w:rPr>
        <w:t xml:space="preserve">Mimir Labs - 16/20. </w:t>
      </w:r>
      <w:r>
        <w:t>Ragnarok is explicitly designed around ontology-to-ontology transformation and reversible staging, but production scale and connector maturity warrant a material discount.</w:t>
      </w:r>
    </w:p>
    <w:p>
      <w:pPr>
        <w:pStyle w:val="Heading2"/>
      </w:pPr>
      <w:r>
        <w:t>3.9 Cross-system synchronization</w:t>
      </w:r>
    </w:p>
    <w:p>
      <w:r>
        <w:rPr>
          <w:b/>
        </w:rPr>
        <w:t xml:space="preserve">Comparative score: </w:t>
      </w:r>
      <w:r>
        <w:t>SAP 17 | Oracle 17 | Microsoft 19 | Salesforce 16 | Mimir Labs 17</w:t>
      </w:r>
    </w:p>
    <w:p>
      <w:pPr>
        <w:spacing w:after="60"/>
      </w:pPr>
      <w:r>
        <w:rPr>
          <w:b/>
        </w:rPr>
        <w:t xml:space="preserve">SAP - 17/20. </w:t>
      </w:r>
      <w:r>
        <w:t>Integration Suite, eventing and business networks provide strong synchronization across SAP and external systems.</w:t>
      </w:r>
    </w:p>
    <w:p>
      <w:pPr>
        <w:spacing w:after="60"/>
      </w:pPr>
      <w:r>
        <w:rPr>
          <w:b/>
        </w:rPr>
        <w:t xml:space="preserve">Oracle - 17/20. </w:t>
      </w:r>
      <w:r>
        <w:t>Oracle Integration, GoldenGate and Fusion APIs provide mature replication and application synchronization.</w:t>
      </w:r>
    </w:p>
    <w:p>
      <w:pPr>
        <w:spacing w:after="60"/>
      </w:pPr>
      <w:r>
        <w:rPr>
          <w:b/>
        </w:rPr>
        <w:t xml:space="preserve">Microsoft - 19/20. </w:t>
      </w:r>
      <w:r>
        <w:t>Power Platform connectors, Fabric pipelines, Azure integration services and event infrastructure give Microsoft exceptional transport breadth.</w:t>
      </w:r>
    </w:p>
    <w:p>
      <w:pPr>
        <w:spacing w:after="60"/>
      </w:pPr>
      <w:r>
        <w:rPr>
          <w:b/>
        </w:rPr>
        <w:t xml:space="preserve">Salesforce - 16/20. </w:t>
      </w:r>
      <w:r>
        <w:t>MuleSoft and platform events provide strong synchronization, particularly for customer-facing and CRM-centered architectures.</w:t>
      </w:r>
    </w:p>
    <w:p>
      <w:pPr>
        <w:spacing w:after="60"/>
      </w:pPr>
      <w:r>
        <w:rPr>
          <w:b/>
        </w:rPr>
        <w:t xml:space="preserve">Mimir Labs - 17/20. </w:t>
      </w:r>
      <w:r>
        <w:t>Bifrost is designed for observable, policy-conforming synchronization, but current implementation maturity and connector breadth trail the incumbents.</w:t>
      </w:r>
    </w:p>
    <w:p>
      <w:pPr>
        <w:pStyle w:val="Heading2"/>
      </w:pPr>
      <w:r>
        <w:t>3.10 Integration breadth</w:t>
      </w:r>
    </w:p>
    <w:p>
      <w:r>
        <w:rPr>
          <w:b/>
        </w:rPr>
        <w:t xml:space="preserve">Comparative score: </w:t>
      </w:r>
      <w:r>
        <w:t>SAP 20 | Oracle 19 | Microsoft 20 | Salesforce 18 | Mimir Labs 11</w:t>
      </w:r>
    </w:p>
    <w:p>
      <w:pPr>
        <w:spacing w:after="60"/>
      </w:pPr>
      <w:r>
        <w:rPr>
          <w:b/>
        </w:rPr>
        <w:t xml:space="preserve">SAP - 20/20. </w:t>
      </w:r>
      <w:r>
        <w:t>SAP has an enormous certified ecosystem, business network and integration catalog covering most enterprise process categories.</w:t>
      </w:r>
    </w:p>
    <w:p>
      <w:pPr>
        <w:spacing w:after="60"/>
      </w:pPr>
      <w:r>
        <w:rPr>
          <w:b/>
        </w:rPr>
        <w:t xml:space="preserve">Oracle - 19/20. </w:t>
      </w:r>
      <w:r>
        <w:t>Oracle has broad application, database and cloud integration coverage, though its ecosystem is somewhat less expansive than SAP's and Microsoft's combined estates.</w:t>
      </w:r>
    </w:p>
    <w:p>
      <w:pPr>
        <w:spacing w:after="60"/>
      </w:pPr>
      <w:r>
        <w:rPr>
          <w:b/>
        </w:rPr>
        <w:t xml:space="preserve">Microsoft - 20/20. </w:t>
      </w:r>
      <w:r>
        <w:t>Azure, Power Platform and more than a thousand connectors give Microsoft the broadest general integration surface in this comparison.</w:t>
      </w:r>
    </w:p>
    <w:p>
      <w:pPr>
        <w:spacing w:after="60"/>
      </w:pPr>
      <w:r>
        <w:rPr>
          <w:b/>
        </w:rPr>
        <w:t xml:space="preserve">Salesforce - 18/20. </w:t>
      </w:r>
      <w:r>
        <w:t>MuleSoft and AppExchange provide very broad integration reach, especially around front-office and digital workflows.</w:t>
      </w:r>
    </w:p>
    <w:p>
      <w:pPr>
        <w:spacing w:after="60"/>
      </w:pPr>
      <w:r>
        <w:rPr>
          <w:b/>
        </w:rPr>
        <w:t xml:space="preserve">Mimir Labs - 11/20. </w:t>
      </w:r>
      <w:r>
        <w:t>The architecture is vendor-neutral, but actual connector inventory and field-tested integrations are still narrow, producing the largest Mimir Labs capability gap.</w:t>
      </w:r>
    </w:p>
    <w:p>
      <w:pPr>
        <w:pStyle w:val="Heading2"/>
      </w:pPr>
      <w:r>
        <w:t>3.11 Operational workflow</w:t>
      </w:r>
    </w:p>
    <w:p>
      <w:r>
        <w:rPr>
          <w:b/>
        </w:rPr>
        <w:t xml:space="preserve">Comparative score: </w:t>
      </w:r>
      <w:r>
        <w:t>SAP 20 | Oracle 20 | Microsoft 17 | Salesforce 19 | Mimir Labs 18</w:t>
      </w:r>
    </w:p>
    <w:p>
      <w:pPr>
        <w:spacing w:after="60"/>
      </w:pPr>
      <w:r>
        <w:rPr>
          <w:b/>
        </w:rPr>
        <w:t xml:space="preserve">SAP - 20/20. </w:t>
      </w:r>
      <w:r>
        <w:t>SAP supports deeply modeled, end-to-end enterprise processes across finance, supply chain, manufacturing, HR and service.</w:t>
      </w:r>
    </w:p>
    <w:p>
      <w:pPr>
        <w:spacing w:after="60"/>
      </w:pPr>
      <w:r>
        <w:rPr>
          <w:b/>
        </w:rPr>
        <w:t xml:space="preserve">Oracle - 20/20. </w:t>
      </w:r>
      <w:r>
        <w:t>Fusion provides similarly deep cross-functional workflows with strong approvals, controls and transaction integration.</w:t>
      </w:r>
    </w:p>
    <w:p>
      <w:pPr>
        <w:spacing w:after="60"/>
      </w:pPr>
      <w:r>
        <w:rPr>
          <w:b/>
        </w:rPr>
        <w:t xml:space="preserve">Microsoft - 17/20. </w:t>
      </w:r>
      <w:r>
        <w:t>Dynamics 365 and Power Platform cover broad workflow needs, but depth varies by application and partner implementation.</w:t>
      </w:r>
    </w:p>
    <w:p>
      <w:pPr>
        <w:spacing w:after="60"/>
      </w:pPr>
      <w:r>
        <w:rPr>
          <w:b/>
        </w:rPr>
        <w:t xml:space="preserve">Salesforce - 19/20. </w:t>
      </w:r>
      <w:r>
        <w:t>Salesforce is exceptionally strong in sales, service and customer workflows and increasingly broad elsewhere, but not as complete in core manufacturing execution.</w:t>
      </w:r>
    </w:p>
    <w:p>
      <w:pPr>
        <w:spacing w:after="60"/>
      </w:pPr>
      <w:r>
        <w:rPr>
          <w:b/>
        </w:rPr>
        <w:t xml:space="preserve">Mimir Labs - 18/20. </w:t>
      </w:r>
      <w:r>
        <w:t>Yggdrasil ERP contains broad operational state machines and workflows, but commercial deployment depth remains substantially below SAP and Oracle.</w:t>
      </w:r>
    </w:p>
    <w:p>
      <w:pPr>
        <w:pStyle w:val="Heading2"/>
      </w:pPr>
      <w:r>
        <w:t>3.12 ERP transaction depth</w:t>
      </w:r>
    </w:p>
    <w:p>
      <w:r>
        <w:rPr>
          <w:b/>
        </w:rPr>
        <w:t xml:space="preserve">Comparative score: </w:t>
      </w:r>
      <w:r>
        <w:t>SAP 20 | Oracle 20 | Microsoft 14 | Salesforce 14 | Mimir Labs 17</w:t>
      </w:r>
    </w:p>
    <w:p>
      <w:pPr>
        <w:spacing w:after="60"/>
      </w:pPr>
      <w:r>
        <w:rPr>
          <w:b/>
        </w:rPr>
        <w:t xml:space="preserve">SAP - 20/20. </w:t>
      </w:r>
      <w:r>
        <w:t>SAP is a benchmark enterprise transaction platform with decades of depth across complex global operations.</w:t>
      </w:r>
    </w:p>
    <w:p>
      <w:pPr>
        <w:spacing w:after="60"/>
      </w:pPr>
      <w:r>
        <w:rPr>
          <w:b/>
        </w:rPr>
        <w:t xml:space="preserve">Oracle - 20/20. </w:t>
      </w:r>
      <w:r>
        <w:t>Oracle Fusion ERP and SCM provide benchmark-level transaction coverage and financial control.</w:t>
      </w:r>
    </w:p>
    <w:p>
      <w:pPr>
        <w:spacing w:after="60"/>
      </w:pPr>
      <w:r>
        <w:rPr>
          <w:b/>
        </w:rPr>
        <w:t xml:space="preserve">Microsoft - 14/20. </w:t>
      </w:r>
      <w:r>
        <w:t>Dynamics 365 has credible ERP functionality, but the comparison includes Microsoft's wider data and AI portfolio, whose operational depth is less uniformly integrated.</w:t>
      </w:r>
    </w:p>
    <w:p>
      <w:pPr>
        <w:spacing w:after="60"/>
      </w:pPr>
      <w:r>
        <w:rPr>
          <w:b/>
        </w:rPr>
        <w:t xml:space="preserve">Salesforce - 14/20. </w:t>
      </w:r>
      <w:r>
        <w:t>Salesforce is not a full general-purpose ERP, despite strong revenue, service and industry transaction capabilities.</w:t>
      </w:r>
    </w:p>
    <w:p>
      <w:pPr>
        <w:spacing w:after="60"/>
      </w:pPr>
      <w:r>
        <w:rPr>
          <w:b/>
        </w:rPr>
        <w:t xml:space="preserve">Mimir Labs - 17/20. </w:t>
      </w:r>
      <w:r>
        <w:t>Yggdrasil ERP covers major ERP modules and many state machines, but lacks the field history, localization and edge-case coverage of mature incumbents.</w:t>
      </w:r>
    </w:p>
    <w:p>
      <w:pPr>
        <w:pStyle w:val="Heading2"/>
      </w:pPr>
      <w:r>
        <w:t>3.13 AI/agent capability</w:t>
      </w:r>
    </w:p>
    <w:p>
      <w:r>
        <w:rPr>
          <w:b/>
        </w:rPr>
        <w:t xml:space="preserve">Comparative score: </w:t>
      </w:r>
      <w:r>
        <w:t>SAP 18 | Oracle 19 | Microsoft 20 | Salesforce 20 | Mimir Labs 12</w:t>
      </w:r>
    </w:p>
    <w:p>
      <w:pPr>
        <w:spacing w:after="60"/>
      </w:pPr>
      <w:r>
        <w:rPr>
          <w:b/>
        </w:rPr>
        <w:t xml:space="preserve">SAP - 18/20. </w:t>
      </w:r>
      <w:r>
        <w:t>Joule and SAP's agent portfolio provide substantial business-agent capability grounded in SAP data and workflows.</w:t>
      </w:r>
    </w:p>
    <w:p>
      <w:pPr>
        <w:spacing w:after="60"/>
      </w:pPr>
      <w:r>
        <w:rPr>
          <w:b/>
        </w:rPr>
        <w:t xml:space="preserve">Oracle - 19/20. </w:t>
      </w:r>
      <w:r>
        <w:t>Fusion AI Agent Studio and embedded agents now support native action against Fusion business objects and workflows.</w:t>
      </w:r>
    </w:p>
    <w:p>
      <w:pPr>
        <w:spacing w:after="60"/>
      </w:pPr>
      <w:r>
        <w:rPr>
          <w:b/>
        </w:rPr>
        <w:t xml:space="preserve">Microsoft - 20/20. </w:t>
      </w:r>
      <w:r>
        <w:t>Copilot Studio, Azure AI Foundry, Microsoft 365 Copilot and Fabric agents make Microsoft the broadest agent platform in the comparison.</w:t>
      </w:r>
    </w:p>
    <w:p>
      <w:pPr>
        <w:spacing w:after="60"/>
      </w:pPr>
      <w:r>
        <w:rPr>
          <w:b/>
        </w:rPr>
        <w:t xml:space="preserve">Salesforce - 20/20. </w:t>
      </w:r>
      <w:r>
        <w:t>Agentforce is a leading packaged enterprise-agent platform with strong action, reasoning and CRM integration.</w:t>
      </w:r>
    </w:p>
    <w:p>
      <w:pPr>
        <w:spacing w:after="60"/>
      </w:pPr>
      <w:r>
        <w:rPr>
          <w:b/>
        </w:rPr>
        <w:t xml:space="preserve">Mimir Labs - 12/20. </w:t>
      </w:r>
      <w:r>
        <w:t>Mimir Labs is designed to govern agents rather than compete as a frontier agent platform, so native model, tooling and agent-development breadth are intentionally limited.</w:t>
      </w:r>
    </w:p>
    <w:p>
      <w:pPr>
        <w:pStyle w:val="Heading2"/>
      </w:pPr>
      <w:r>
        <w:t>3.14 AI business context</w:t>
      </w:r>
    </w:p>
    <w:p>
      <w:r>
        <w:rPr>
          <w:b/>
        </w:rPr>
        <w:t xml:space="preserve">Comparative score: </w:t>
      </w:r>
      <w:r>
        <w:t>SAP 19 | Oracle 19 | Microsoft 18 | Salesforce 19 | Mimir Labs 18</w:t>
      </w:r>
    </w:p>
    <w:p>
      <w:pPr>
        <w:spacing w:after="60"/>
      </w:pPr>
      <w:r>
        <w:rPr>
          <w:b/>
        </w:rPr>
        <w:t xml:space="preserve">SAP - 19/20. </w:t>
      </w:r>
      <w:r>
        <w:t>SAP's strongest AI advantage is access to deeply structured enterprise process and transaction context.</w:t>
      </w:r>
    </w:p>
    <w:p>
      <w:pPr>
        <w:spacing w:after="60"/>
      </w:pPr>
      <w:r>
        <w:rPr>
          <w:b/>
        </w:rPr>
        <w:t xml:space="preserve">Oracle - 19/20. </w:t>
      </w:r>
      <w:r>
        <w:t>Fusion's shared data model and embedded application agents provide similarly strong operational context.</w:t>
      </w:r>
    </w:p>
    <w:p>
      <w:pPr>
        <w:spacing w:after="60"/>
      </w:pPr>
      <w:r>
        <w:rPr>
          <w:b/>
        </w:rPr>
        <w:t xml:space="preserve">Microsoft - 18/20. </w:t>
      </w:r>
      <w:r>
        <w:t>Microsoft IQ, Graph, Fabric and Dynamics provide broad organizational context, though it is distributed across several services.</w:t>
      </w:r>
    </w:p>
    <w:p>
      <w:pPr>
        <w:spacing w:after="60"/>
      </w:pPr>
      <w:r>
        <w:rPr>
          <w:b/>
        </w:rPr>
        <w:t xml:space="preserve">Salesforce - 19/20. </w:t>
      </w:r>
      <w:r>
        <w:t>Data 360 grounds Agentforce in unified customer data and metadata, producing excellent customer and revenue context.</w:t>
      </w:r>
    </w:p>
    <w:p>
      <w:pPr>
        <w:spacing w:after="60"/>
      </w:pPr>
      <w:r>
        <w:rPr>
          <w:b/>
        </w:rPr>
        <w:t xml:space="preserve">Mimir Labs - 18/20. </w:t>
      </w:r>
      <w:r>
        <w:t>Canonical definitions and authoritative operational state are intended to give agents precise business meaning, though the deployed context corpus is not yet broad.</w:t>
      </w:r>
    </w:p>
    <w:p>
      <w:pPr>
        <w:pStyle w:val="Heading2"/>
      </w:pPr>
      <w:r>
        <w:t>3.15 Agent orchestration</w:t>
      </w:r>
    </w:p>
    <w:p>
      <w:r>
        <w:rPr>
          <w:b/>
        </w:rPr>
        <w:t xml:space="preserve">Comparative score: </w:t>
      </w:r>
      <w:r>
        <w:t>SAP 17 | Oracle 19 | Microsoft 20 | Salesforce 20 | Mimir Labs 12</w:t>
      </w:r>
    </w:p>
    <w:p>
      <w:pPr>
        <w:spacing w:after="60"/>
      </w:pPr>
      <w:r>
        <w:rPr>
          <w:b/>
        </w:rPr>
        <w:t xml:space="preserve">SAP - 17/20. </w:t>
      </w:r>
      <w:r>
        <w:t>SAP supports multi-agent and workflow orchestration but remains earlier and more application-bounded than Microsoft or Salesforce.</w:t>
      </w:r>
    </w:p>
    <w:p>
      <w:pPr>
        <w:spacing w:after="60"/>
      </w:pPr>
      <w:r>
        <w:rPr>
          <w:b/>
        </w:rPr>
        <w:t xml:space="preserve">Oracle - 19/20. </w:t>
      </w:r>
      <w:r>
        <w:t>Oracle's AI Agent Studio and native Fusion runtime provide strong orchestration and application action with growing multi-agent support.</w:t>
      </w:r>
    </w:p>
    <w:p>
      <w:pPr>
        <w:spacing w:after="60"/>
      </w:pPr>
      <w:r>
        <w:rPr>
          <w:b/>
        </w:rPr>
        <w:t xml:space="preserve">Microsoft - 20/20. </w:t>
      </w:r>
      <w:r>
        <w:t>Copilot Studio and Azure AI Foundry provide highly mature orchestration, connectors, agent collaboration and development tooling.</w:t>
      </w:r>
    </w:p>
    <w:p>
      <w:pPr>
        <w:spacing w:after="60"/>
      </w:pPr>
      <w:r>
        <w:rPr>
          <w:b/>
        </w:rPr>
        <w:t xml:space="preserve">Salesforce - 20/20. </w:t>
      </w:r>
      <w:r>
        <w:t>Agentforce provides mature topic, action, reasoning and multi-agent orchestration focused on business workflows.</w:t>
      </w:r>
    </w:p>
    <w:p>
      <w:pPr>
        <w:spacing w:after="60"/>
      </w:pPr>
      <w:r>
        <w:rPr>
          <w:b/>
        </w:rPr>
        <w:t xml:space="preserve">Mimir Labs - 12/20. </w:t>
      </w:r>
      <w:r>
        <w:t>ROPE and the governance stack constrain execution, but Mimir Labs does not yet provide a comparably complete general agent-orchestration workbench.</w:t>
      </w:r>
    </w:p>
    <w:p>
      <w:pPr>
        <w:pStyle w:val="Heading2"/>
      </w:pPr>
      <w:r>
        <w:t>3.16 AI governance</w:t>
      </w:r>
    </w:p>
    <w:p>
      <w:r>
        <w:rPr>
          <w:b/>
        </w:rPr>
        <w:t xml:space="preserve">Comparative score: </w:t>
      </w:r>
      <w:r>
        <w:t>SAP 18 | Oracle 19 | Microsoft 20 | Salesforce 19 | Mimir Labs 19</w:t>
      </w:r>
    </w:p>
    <w:p>
      <w:pPr>
        <w:spacing w:after="60"/>
      </w:pPr>
      <w:r>
        <w:rPr>
          <w:b/>
        </w:rPr>
        <w:t xml:space="preserve">SAP - 18/20. </w:t>
      </w:r>
      <w:r>
        <w:t>SAP embeds authorization, workflow and governance into Joule and application agents, with growing enterprise AI control capabilities.</w:t>
      </w:r>
    </w:p>
    <w:p>
      <w:pPr>
        <w:spacing w:after="60"/>
      </w:pPr>
      <w:r>
        <w:rPr>
          <w:b/>
        </w:rPr>
        <w:t xml:space="preserve">Oracle - 19/20. </w:t>
      </w:r>
      <w:r>
        <w:t>Oracle agents inherit Fusion security, governance, approvals and auditability and include native observability and evaluation.</w:t>
      </w:r>
    </w:p>
    <w:p>
      <w:pPr>
        <w:spacing w:after="60"/>
      </w:pPr>
      <w:r>
        <w:rPr>
          <w:b/>
        </w:rPr>
        <w:t xml:space="preserve">Microsoft - 20/20. </w:t>
      </w:r>
      <w:r>
        <w:t>Purview, Entra, Copilot controls and platform administration create the broadest cross-environment AI governance suite.</w:t>
      </w:r>
    </w:p>
    <w:p>
      <w:pPr>
        <w:spacing w:after="60"/>
      </w:pPr>
      <w:r>
        <w:rPr>
          <w:b/>
        </w:rPr>
        <w:t xml:space="preserve">Salesforce - 19/20. </w:t>
      </w:r>
      <w:r>
        <w:t>The Trust Layer, Data 360 governance and agent auditing provide a strong packaged governance posture.</w:t>
      </w:r>
    </w:p>
    <w:p>
      <w:pPr>
        <w:spacing w:after="60"/>
      </w:pPr>
      <w:r>
        <w:rPr>
          <w:b/>
        </w:rPr>
        <w:t xml:space="preserve">Mimir Labs - 19/20. </w:t>
      </w:r>
      <w:r>
        <w:t>Mimir Labs scores highly because it governs the resulting operational action at the authoritative state boundary, not merely prompts, responses or agent identity.</w:t>
      </w:r>
    </w:p>
    <w:p>
      <w:pPr>
        <w:pStyle w:val="Heading2"/>
      </w:pPr>
      <w:r>
        <w:t>3.17 Identity and authorization</w:t>
      </w:r>
    </w:p>
    <w:p>
      <w:r>
        <w:rPr>
          <w:b/>
        </w:rPr>
        <w:t xml:space="preserve">Comparative score: </w:t>
      </w:r>
      <w:r>
        <w:t>SAP 19 | Oracle 19 | Microsoft 20 | Salesforce 19 | Mimir Labs 18</w:t>
      </w:r>
    </w:p>
    <w:p>
      <w:pPr>
        <w:spacing w:after="60"/>
      </w:pPr>
      <w:r>
        <w:rPr>
          <w:b/>
        </w:rPr>
        <w:t xml:space="preserve">SAP - 19/20. </w:t>
      </w:r>
      <w:r>
        <w:t>SAP has mature enterprise IAM, role models, segregation-of-duties controls and application authorization.</w:t>
      </w:r>
    </w:p>
    <w:p>
      <w:pPr>
        <w:spacing w:after="60"/>
      </w:pPr>
      <w:r>
        <w:rPr>
          <w:b/>
        </w:rPr>
        <w:t xml:space="preserve">Oracle - 19/20. </w:t>
      </w:r>
      <w:r>
        <w:t>Oracle provides mature identity, roles, privileges and application security across Fusion and OCI.</w:t>
      </w:r>
    </w:p>
    <w:p>
      <w:pPr>
        <w:spacing w:after="60"/>
      </w:pPr>
      <w:r>
        <w:rPr>
          <w:b/>
        </w:rPr>
        <w:t xml:space="preserve">Microsoft - 20/20. </w:t>
      </w:r>
      <w:r>
        <w:t>Entra is a market-leading identity plane integrated across Microsoft applications, data and AI services.</w:t>
      </w:r>
    </w:p>
    <w:p>
      <w:pPr>
        <w:spacing w:after="60"/>
      </w:pPr>
      <w:r>
        <w:rPr>
          <w:b/>
        </w:rPr>
        <w:t xml:space="preserve">Salesforce - 19/20. </w:t>
      </w:r>
      <w:r>
        <w:t>Salesforce's permission model, profiles, roles, sharing and identity services are mature and granular.</w:t>
      </w:r>
    </w:p>
    <w:p>
      <w:pPr>
        <w:spacing w:after="60"/>
      </w:pPr>
      <w:r>
        <w:rPr>
          <w:b/>
        </w:rPr>
        <w:t xml:space="preserve">Mimir Labs - 18/20. </w:t>
      </w:r>
      <w:r>
        <w:t>MFA, deterministic RBAC and role-bound action logging are architecturally strong, but ecosystem breadth and administrative maturity trail the incumbents.</w:t>
      </w:r>
    </w:p>
    <w:p>
      <w:pPr>
        <w:pStyle w:val="Heading2"/>
      </w:pPr>
      <w:r>
        <w:t>3.18 Pre-write policy enforcement</w:t>
      </w:r>
    </w:p>
    <w:p>
      <w:r>
        <w:rPr>
          <w:b/>
        </w:rPr>
        <w:t xml:space="preserve">Comparative score: </w:t>
      </w:r>
      <w:r>
        <w:t>SAP 15 | Oracle 17 | Microsoft 14 | Salesforce 15 | Mimir Labs 20</w:t>
      </w:r>
    </w:p>
    <w:p>
      <w:pPr>
        <w:spacing w:after="60"/>
      </w:pPr>
      <w:r>
        <w:rPr>
          <w:b/>
        </w:rPr>
        <w:t xml:space="preserve">SAP - 15/20. </w:t>
      </w:r>
      <w:r>
        <w:t>SAP enforces many application rules and approvals before transaction completion, but universal enforcement across extensions and external write paths is not guaranteed.</w:t>
      </w:r>
    </w:p>
    <w:p>
      <w:pPr>
        <w:spacing w:after="60"/>
      </w:pPr>
      <w:r>
        <w:rPr>
          <w:b/>
        </w:rPr>
        <w:t xml:space="preserve">Oracle - 17/20. </w:t>
      </w:r>
      <w:r>
        <w:t>Fusion's native agents inherit workflows, security and approvals, and Oracle Database can enforce powerful constraints, producing the strongest incumbent score.</w:t>
      </w:r>
    </w:p>
    <w:p>
      <w:pPr>
        <w:spacing w:after="60"/>
      </w:pPr>
      <w:r>
        <w:rPr>
          <w:b/>
        </w:rPr>
        <w:t xml:space="preserve">Microsoft - 14/20. </w:t>
      </w:r>
      <w:r>
        <w:t>Power Platform and Dynamics can validate and authorize writes, but Fabric and agent governance are not one mandatory pre-commit boundary across the estate.</w:t>
      </w:r>
    </w:p>
    <w:p>
      <w:pPr>
        <w:spacing w:after="60"/>
      </w:pPr>
      <w:r>
        <w:rPr>
          <w:b/>
        </w:rPr>
        <w:t xml:space="preserve">Salesforce - 15/20. </w:t>
      </w:r>
      <w:r>
        <w:t>Salesforce validation rules, flows, Apex and permissions can block writes, though policy remains object- and implementation-dependent.</w:t>
      </w:r>
    </w:p>
    <w:p>
      <w:pPr>
        <w:spacing w:after="60"/>
      </w:pPr>
      <w:r>
        <w:rPr>
          <w:b/>
        </w:rPr>
        <w:t xml:space="preserve">Mimir Labs - 20/20. </w:t>
      </w:r>
      <w:r>
        <w:t>Every governed action is intended to pass deterministic policy validation before authoritative commit, making this the architecture's principal differentiator.</w:t>
      </w:r>
    </w:p>
    <w:p>
      <w:pPr>
        <w:pStyle w:val="Heading2"/>
      </w:pPr>
      <w:r>
        <w:t>3.19 State-transition validation</w:t>
      </w:r>
    </w:p>
    <w:p>
      <w:r>
        <w:rPr>
          <w:b/>
        </w:rPr>
        <w:t xml:space="preserve">Comparative score: </w:t>
      </w:r>
      <w:r>
        <w:t>SAP 16 | Oracle 17 | Microsoft 13 | Salesforce 14 | Mimir Labs 20</w:t>
      </w:r>
    </w:p>
    <w:p>
      <w:pPr>
        <w:spacing w:after="60"/>
      </w:pPr>
      <w:r>
        <w:rPr>
          <w:b/>
        </w:rPr>
        <w:t xml:space="preserve">SAP - 16/20. </w:t>
      </w:r>
      <w:r>
        <w:t>SAP business processes constrain many transitions, but customization and direct integration patterns can create alternate paths.</w:t>
      </w:r>
    </w:p>
    <w:p>
      <w:pPr>
        <w:spacing w:after="60"/>
      </w:pPr>
      <w:r>
        <w:rPr>
          <w:b/>
        </w:rPr>
        <w:t xml:space="preserve">Oracle - 17/20. </w:t>
      </w:r>
      <w:r>
        <w:t>Fusion workflows and object rules provide strong state control, though not every enterprise state transition is represented by one universal engine.</w:t>
      </w:r>
    </w:p>
    <w:p>
      <w:pPr>
        <w:spacing w:after="60"/>
      </w:pPr>
      <w:r>
        <w:rPr>
          <w:b/>
        </w:rPr>
        <w:t xml:space="preserve">Microsoft - 13/20. </w:t>
      </w:r>
      <w:r>
        <w:t>Dynamics and Dataverse support business process and state rules, but enforcement varies across services and custom implementations.</w:t>
      </w:r>
    </w:p>
    <w:p>
      <w:pPr>
        <w:spacing w:after="60"/>
      </w:pPr>
      <w:r>
        <w:rPr>
          <w:b/>
        </w:rPr>
        <w:t xml:space="preserve">Salesforce - 14/20. </w:t>
      </w:r>
      <w:r>
        <w:t>Salesforce supports status constraints, flows and validation, but no universal state-machine token is required for every database mutation.</w:t>
      </w:r>
    </w:p>
    <w:p>
      <w:pPr>
        <w:spacing w:after="60"/>
      </w:pPr>
      <w:r>
        <w:rPr>
          <w:b/>
        </w:rPr>
        <w:t xml:space="preserve">Mimir Labs - 20/20. </w:t>
      </w:r>
      <w:r>
        <w:t>Yggdrasil's design requires validated state-machine authorization before SQL compilation, directly binding transition legality to execution.</w:t>
      </w:r>
    </w:p>
    <w:p>
      <w:pPr>
        <w:pStyle w:val="Heading2"/>
      </w:pPr>
      <w:r>
        <w:t>3.20 Immutable auditability</w:t>
      </w:r>
    </w:p>
    <w:p>
      <w:r>
        <w:rPr>
          <w:b/>
        </w:rPr>
        <w:t xml:space="preserve">Comparative score: </w:t>
      </w:r>
      <w:r>
        <w:t>SAP 18 | Oracle 18 | Microsoft 18 | Salesforce 17 | Mimir Labs 20</w:t>
      </w:r>
    </w:p>
    <w:p>
      <w:pPr>
        <w:spacing w:after="60"/>
      </w:pPr>
      <w:r>
        <w:rPr>
          <w:b/>
        </w:rPr>
        <w:t xml:space="preserve">SAP - 18/20. </w:t>
      </w:r>
      <w:r>
        <w:t>SAP provides extensive change documents, logs and compliance capabilities, but immutability varies by product, configuration and external archive design.</w:t>
      </w:r>
    </w:p>
    <w:p>
      <w:pPr>
        <w:spacing w:after="60"/>
      </w:pPr>
      <w:r>
        <w:rPr>
          <w:b/>
        </w:rPr>
        <w:t xml:space="preserve">Oracle - 18/20. </w:t>
      </w:r>
      <w:r>
        <w:t>Fusion and Oracle Database offer mature auditing and tamper-resistant options, though immutable end-to-end event replay is not universal by default.</w:t>
      </w:r>
    </w:p>
    <w:p>
      <w:pPr>
        <w:spacing w:after="60"/>
      </w:pPr>
      <w:r>
        <w:rPr>
          <w:b/>
        </w:rPr>
        <w:t xml:space="preserve">Microsoft - 18/20. </w:t>
      </w:r>
      <w:r>
        <w:t>Purview, platform audit logs and security services provide excellent observability, but operational event immutability varies across workloads.</w:t>
      </w:r>
    </w:p>
    <w:p>
      <w:pPr>
        <w:spacing w:after="60"/>
      </w:pPr>
      <w:r>
        <w:rPr>
          <w:b/>
        </w:rPr>
        <w:t xml:space="preserve">Salesforce - 17/20. </w:t>
      </w:r>
      <w:r>
        <w:t>Salesforce has strong setup, field history, event and AI audit trails, but retention and completeness depend on editions and configuration.</w:t>
      </w:r>
    </w:p>
    <w:p>
      <w:pPr>
        <w:spacing w:after="60"/>
      </w:pPr>
      <w:r>
        <w:rPr>
          <w:b/>
        </w:rPr>
        <w:t xml:space="preserve">Mimir Labs - 20/20. </w:t>
      </w:r>
      <w:r>
        <w:t>Append-only audit structures, transaction traceability and deterministic replay are explicit platform properties rather than optional reporting features.</w:t>
      </w:r>
    </w:p>
    <w:p>
      <w:pPr>
        <w:pStyle w:val="Heading2"/>
      </w:pPr>
      <w:r>
        <w:t>3.21 Deterministic execution</w:t>
      </w:r>
    </w:p>
    <w:p>
      <w:r>
        <w:rPr>
          <w:b/>
        </w:rPr>
        <w:t xml:space="preserve">Comparative score: </w:t>
      </w:r>
      <w:r>
        <w:t>SAP 15 | Oracle 17 | Microsoft 13 | Salesforce 14 | Mimir Labs 20</w:t>
      </w:r>
    </w:p>
    <w:p>
      <w:pPr>
        <w:spacing w:after="60"/>
      </w:pPr>
      <w:r>
        <w:rPr>
          <w:b/>
        </w:rPr>
        <w:t xml:space="preserve">SAP - 15/20. </w:t>
      </w:r>
      <w:r>
        <w:t>Core ERP transactions are deterministic, but agent reasoning, custom extensions and distributed process logic reduce end-to-end determinism.</w:t>
      </w:r>
    </w:p>
    <w:p>
      <w:pPr>
        <w:spacing w:after="60"/>
      </w:pPr>
      <w:r>
        <w:rPr>
          <w:b/>
        </w:rPr>
        <w:t xml:space="preserve">Oracle - 17/20. </w:t>
      </w:r>
      <w:r>
        <w:t>Oracle's database and Fusion object execution are strongly deterministic, with native agent integration raising its score above the other incumbents.</w:t>
      </w:r>
    </w:p>
    <w:p>
      <w:pPr>
        <w:spacing w:after="60"/>
      </w:pPr>
      <w:r>
        <w:rPr>
          <w:b/>
        </w:rPr>
        <w:t xml:space="preserve">Microsoft - 13/20. </w:t>
      </w:r>
      <w:r>
        <w:t>Microsoft can build deterministic applications, but its broad low-code, data and agent estate does not impose deterministic execution universally.</w:t>
      </w:r>
    </w:p>
    <w:p>
      <w:pPr>
        <w:spacing w:after="60"/>
      </w:pPr>
      <w:r>
        <w:rPr>
          <w:b/>
        </w:rPr>
        <w:t xml:space="preserve">Salesforce - 14/20. </w:t>
      </w:r>
      <w:r>
        <w:t>Salesforce transaction processing is reliable, but flows, Apex, external actions and probabilistic agents produce variable end-to-end behavior.</w:t>
      </w:r>
    </w:p>
    <w:p>
      <w:pPr>
        <w:spacing w:after="60"/>
      </w:pPr>
      <w:r>
        <w:rPr>
          <w:b/>
        </w:rPr>
        <w:t xml:space="preserve">Mimir Labs - 20/20. </w:t>
      </w:r>
      <w:r>
        <w:t>The platform explicitly separates probabilistic proposal from deterministic admissibility and commit, which is the core technical thesis.</w:t>
      </w:r>
    </w:p>
    <w:p>
      <w:pPr>
        <w:pStyle w:val="Heading2"/>
      </w:pPr>
      <w:r>
        <w:t>3.22 Drift detection</w:t>
      </w:r>
    </w:p>
    <w:p>
      <w:r>
        <w:rPr>
          <w:b/>
        </w:rPr>
        <w:t xml:space="preserve">Comparative score: </w:t>
      </w:r>
      <w:r>
        <w:t>SAP 17 | Oracle 16 | Microsoft 19 | Salesforce 16 | Mimir Labs 19</w:t>
      </w:r>
    </w:p>
    <w:p>
      <w:pPr>
        <w:spacing w:after="60"/>
      </w:pPr>
      <w:r>
        <w:rPr>
          <w:b/>
        </w:rPr>
        <w:t xml:space="preserve">SAP - 17/20. </w:t>
      </w:r>
      <w:r>
        <w:t>SAP provides data, process and configuration monitoring, but semantic and policy drift across complex landscapes still often requires governance programs and partners.</w:t>
      </w:r>
    </w:p>
    <w:p>
      <w:pPr>
        <w:spacing w:after="60"/>
      </w:pPr>
      <w:r>
        <w:rPr>
          <w:b/>
        </w:rPr>
        <w:t xml:space="preserve">Oracle - 16/20. </w:t>
      </w:r>
      <w:r>
        <w:t>Oracle provides monitoring, metadata and configuration controls, though enterprise semantic drift across third-party systems is not its primary focus.</w:t>
      </w:r>
    </w:p>
    <w:p>
      <w:pPr>
        <w:spacing w:after="60"/>
      </w:pPr>
      <w:r>
        <w:rPr>
          <w:b/>
        </w:rPr>
        <w:t xml:space="preserve">Microsoft - 19/20. </w:t>
      </w:r>
      <w:r>
        <w:t>Purview scanning, cataloging and policy services provide excellent data-estate drift visibility.</w:t>
      </w:r>
    </w:p>
    <w:p>
      <w:pPr>
        <w:spacing w:after="60"/>
      </w:pPr>
      <w:r>
        <w:rPr>
          <w:b/>
        </w:rPr>
        <w:t xml:space="preserve">Salesforce - 16/20. </w:t>
      </w:r>
      <w:r>
        <w:t>Salesforce provides metadata, policy and activity monitoring, but broad cross-system semantic drift is less comprehensive.</w:t>
      </w:r>
    </w:p>
    <w:p>
      <w:pPr>
        <w:spacing w:after="60"/>
      </w:pPr>
      <w:r>
        <w:rPr>
          <w:b/>
        </w:rPr>
        <w:t xml:space="preserve">Mimir Labs - 19/20. </w:t>
      </w:r>
      <w:r>
        <w:t>Jormungandr is explicitly designed for schema drift, canonical concept enforcement and integration compliance detection, although SaaS maturity remains incomplete.</w:t>
      </w:r>
    </w:p>
    <w:p>
      <w:pPr>
        <w:pStyle w:val="Heading2"/>
      </w:pPr>
      <w:r>
        <w:t>3.23 Human oversight</w:t>
      </w:r>
    </w:p>
    <w:p>
      <w:r>
        <w:rPr>
          <w:b/>
        </w:rPr>
        <w:t xml:space="preserve">Comparative score: </w:t>
      </w:r>
      <w:r>
        <w:t>SAP 19 | Oracle 19 | Microsoft 19 | Salesforce 19 | Mimir Labs 17</w:t>
      </w:r>
    </w:p>
    <w:p>
      <w:pPr>
        <w:spacing w:after="60"/>
      </w:pPr>
      <w:r>
        <w:rPr>
          <w:b/>
        </w:rPr>
        <w:t xml:space="preserve">SAP - 19/20. </w:t>
      </w:r>
      <w:r>
        <w:t>SAP provides mature approvals, workflow inboxes, controls and role separation across enterprise processes.</w:t>
      </w:r>
    </w:p>
    <w:p>
      <w:pPr>
        <w:spacing w:after="60"/>
      </w:pPr>
      <w:r>
        <w:rPr>
          <w:b/>
        </w:rPr>
        <w:t xml:space="preserve">Oracle - 19/20. </w:t>
      </w:r>
      <w:r>
        <w:t>Fusion provides strong configurable approvals, exception handling and audit-backed human intervention.</w:t>
      </w:r>
    </w:p>
    <w:p>
      <w:pPr>
        <w:spacing w:after="60"/>
      </w:pPr>
      <w:r>
        <w:rPr>
          <w:b/>
        </w:rPr>
        <w:t xml:space="preserve">Microsoft - 19/20. </w:t>
      </w:r>
      <w:r>
        <w:t>Microsoft offers extensive approval, review and human-in-the-loop patterns through Power Platform and Copilot tooling.</w:t>
      </w:r>
    </w:p>
    <w:p>
      <w:pPr>
        <w:spacing w:after="60"/>
      </w:pPr>
      <w:r>
        <w:rPr>
          <w:b/>
        </w:rPr>
        <w:t xml:space="preserve">Salesforce - 19/20. </w:t>
      </w:r>
      <w:r>
        <w:t>Salesforce combines mature queues, approvals, escalation and agent handoff patterns.</w:t>
      </w:r>
    </w:p>
    <w:p>
      <w:pPr>
        <w:spacing w:after="60"/>
      </w:pPr>
      <w:r>
        <w:rPr>
          <w:b/>
        </w:rPr>
        <w:t xml:space="preserve">Mimir Labs - 17/20. </w:t>
      </w:r>
      <w:r>
        <w:t>The architecture supports human authority and overrides with traceability, but operational user experience and large-scale oversight tooling are less mature.</w:t>
      </w:r>
    </w:p>
    <w:p>
      <w:pPr>
        <w:pStyle w:val="Heading2"/>
      </w:pPr>
      <w:r>
        <w:t>3.24 Manufacturing operational depth</w:t>
      </w:r>
    </w:p>
    <w:p>
      <w:r>
        <w:rPr>
          <w:b/>
        </w:rPr>
        <w:t xml:space="preserve">Comparative score: </w:t>
      </w:r>
      <w:r>
        <w:t>SAP 19 | Oracle 18 | Microsoft 13 | Salesforce 10 | Mimir Labs 18</w:t>
      </w:r>
    </w:p>
    <w:p>
      <w:pPr>
        <w:spacing w:after="60"/>
      </w:pPr>
      <w:r>
        <w:rPr>
          <w:b/>
        </w:rPr>
        <w:t xml:space="preserve">SAP - 19/20. </w:t>
      </w:r>
      <w:r>
        <w:t>SAP has exceptional manufacturing, planning, asset, quality and supply-chain depth across industries.</w:t>
      </w:r>
    </w:p>
    <w:p>
      <w:pPr>
        <w:spacing w:after="60"/>
      </w:pPr>
      <w:r>
        <w:rPr>
          <w:b/>
        </w:rPr>
        <w:t xml:space="preserve">Oracle - 18/20. </w:t>
      </w:r>
      <w:r>
        <w:t>Oracle provides extensive manufacturing and supply-chain execution, planning and product lifecycle capabilities.</w:t>
      </w:r>
    </w:p>
    <w:p>
      <w:pPr>
        <w:spacing w:after="60"/>
      </w:pPr>
      <w:r>
        <w:rPr>
          <w:b/>
        </w:rPr>
        <w:t xml:space="preserve">Microsoft - 13/20. </w:t>
      </w:r>
      <w:r>
        <w:t>Dynamics 365 supports credible manufacturing, but Microsoft's total platform is less specialized and globally deep than SAP or Oracle.</w:t>
      </w:r>
    </w:p>
    <w:p>
      <w:pPr>
        <w:spacing w:after="60"/>
      </w:pPr>
      <w:r>
        <w:rPr>
          <w:b/>
        </w:rPr>
        <w:t xml:space="preserve">Salesforce - 10/20. </w:t>
      </w:r>
      <w:r>
        <w:t>Salesforce supports manufacturing sales and service scenarios but generally depends on ERP and partner systems for plant-floor and production depth.</w:t>
      </w:r>
    </w:p>
    <w:p>
      <w:pPr>
        <w:spacing w:after="60"/>
      </w:pPr>
      <w:r>
        <w:rPr>
          <w:b/>
        </w:rPr>
        <w:t xml:space="preserve">Mimir Labs - 18/20. </w:t>
      </w:r>
      <w:r>
        <w:t>Yggdrasil ERP was designed around manufacturing, distribution and operational integrity, but field deployment, localization and specialized industry breadth remain unproven.</w:t>
      </w:r>
    </w:p>
    <w:p>
      <w:pPr>
        <w:pStyle w:val="Heading1"/>
      </w:pPr>
      <w:r>
        <w:t>4. Conclusions</w:t>
      </w:r>
    </w:p>
    <w:p>
      <w:r>
        <w:t>First, the incumbents are not governance-naive. Oracle, SAP, Microsoft and Salesforce all provide serious authorization, policy, audit and agent controls. Any Mimir Labs positioning that depends on claiming otherwise is vulnerable to immediate rebuttal.</w:t>
      </w:r>
    </w:p>
    <w:p>
      <w:r>
        <w:t>Second, incumbent governance remains heterogeneous. It is commonly distributed among application logic, identity systems, workflow engines, data catalogs, database constraints, AI trust layers and implementation-specific controls. This can be effective, but it does not necessarily create one canonical operational admissibility boundary across a mixed enterprise estate.</w:t>
      </w:r>
    </w:p>
    <w:p>
      <w:r>
        <w:t>Third, Mimir Labs' strongest comparative claim is architectural concentration. The stack is organized around discovering enterprise semantics, formalizing them canonically, governing all boundary crossings and preventing invalid operational states before commit. The business plan describes the sequence from Ratatosk discovery through Jormungandr enforcement, Ragnarok migration, Bifrost synchronization and Yggdrasil ERP. The architecture specification makes canonical resolution, governed boundaries and internal enforcement normative requirements.</w:t>
      </w:r>
    </w:p>
    <w:p>
      <w:r>
        <w:t>Fourth, Mimir Labs' largest weaknesses are execution risk rather than conceptual gaps. Connector breadth, deployed scale, implementation tooling, localization, agent-development capability and reference customers remain materially behind the incumbents. The benchmark therefore supports a narrow conclusion: Mimir Labs has a differentiated execution-governance architecture, not a presently superior enterprise software platform in every commercial dimension.</w:t>
      </w:r>
    </w:p>
    <w:p>
      <w:r>
        <w:t>Finally, the benchmark can become a repeatable Enterprise Execution Readiness Index. The next version should replace analyst judgments with test protocols: attempt unauthorized state transitions, split transactions, stale-state writes, alternate-tool writes, schema drift and provenance failures against each platform. Measured pass/fail evidence would convert the comparison from a position paper into a technical benchmark.</w:t>
      </w:r>
    </w:p>
    <w:p>
      <w:pPr>
        <w:pStyle w:val="Heading1"/>
      </w:pPr>
      <w:r>
        <w:t>5. Limitations</w:t>
      </w:r>
    </w:p>
    <w:p>
      <w:pPr>
        <w:pStyle w:val="ListBullet"/>
      </w:pPr>
      <w:r>
        <w:t>Scores rely on public documentation and the supplied Mimir Labs architecture materials. Vendor products change rapidly, and implementation-specific capabilities may exceed or fall below the portfolio-level score.</w:t>
      </w:r>
    </w:p>
    <w:p>
      <w:pPr>
        <w:pStyle w:val="ListBullet"/>
      </w:pPr>
      <w:r>
        <w:t>Mimir Labs scores distinguish architectural intent from commercial maturity, but some technical claims have not been independently tested in a production customer environment.</w:t>
      </w:r>
    </w:p>
    <w:p>
      <w:pPr>
        <w:pStyle w:val="ListBullet"/>
      </w:pPr>
      <w:r>
        <w:t>The model weights all 24 conditions equally. Buyers may reasonably assign different weights based on industry, regulatory exposure or existing technology estate.</w:t>
      </w:r>
    </w:p>
    <w:p>
      <w:pPr>
        <w:pStyle w:val="ListBullet"/>
      </w:pPr>
      <w:r>
        <w:t>The benchmark does not score total cost, vendor viability, implementation capacity, global support, localization or installed base. Those factors would materially favor incumbents.</w:t>
      </w:r>
    </w:p>
    <w:p>
      <w:pPr>
        <w:pStyle w:val="Heading1"/>
      </w:pPr>
      <w:r>
        <w:t>References</w:t>
      </w:r>
    </w:p>
    <w:p>
      <w:pPr>
        <w:pStyle w:val="ListNumber"/>
      </w:pPr>
      <w:r>
        <w:t>SAP. SAP Sapphire 2026 Innovation News Guide. https://www.sap.com/topics/events/sapphire/innovation-news-guide-2026</w:t>
      </w:r>
    </w:p>
    <w:p>
      <w:pPr>
        <w:pStyle w:val="ListNumber"/>
      </w:pPr>
      <w:r>
        <w:t>SAP. SAP Datasphere: Unified Data Experience. https://www.sap.com/products/data-cloud/datasphere.html</w:t>
      </w:r>
    </w:p>
    <w:p>
      <w:pPr>
        <w:pStyle w:val="ListNumber"/>
      </w:pPr>
      <w:r>
        <w:t>Oracle. Oracle Introduces AI-Native Builder Experience, July 14, 2026. https://www.oracle.com/news/announcement/oracle-introduces-ai-native-builder-experience-2026-07-14/</w:t>
      </w:r>
    </w:p>
    <w:p>
      <w:pPr>
        <w:pStyle w:val="ListNumber"/>
      </w:pPr>
      <w:r>
        <w:t>Oracle. Oracle AI for Fusion Applications. https://www.oracle.com/applications/fusion-ai/</w:t>
      </w:r>
    </w:p>
    <w:p>
      <w:pPr>
        <w:pStyle w:val="ListNumber"/>
      </w:pPr>
      <w:r>
        <w:t>Microsoft. Use Microsoft Purview to Govern Microsoft Fabric. https://learn.microsoft.com/en-us/fabric/governance/microsoft-purview-fabric</w:t>
      </w:r>
    </w:p>
    <w:p>
      <w:pPr>
        <w:pStyle w:val="ListNumber"/>
      </w:pPr>
      <w:r>
        <w:t>Microsoft. Microsoft Purview Data Security and Compliance Protections for Generative AI. https://learn.microsoft.com/en-us/purview/ai-microsoft-purview</w:t>
      </w:r>
    </w:p>
    <w:p>
      <w:pPr>
        <w:pStyle w:val="ListNumber"/>
      </w:pPr>
      <w:r>
        <w:t>Microsoft. What Is Microsoft Fabric. https://learn.microsoft.com/en-us/fabric/fundamentals/microsoft-fabric-overview</w:t>
      </w:r>
    </w:p>
    <w:p>
      <w:pPr>
        <w:pStyle w:val="ListNumber"/>
      </w:pPr>
      <w:r>
        <w:t>Microsoft. Power Platform. https://www.microsoft.com/en-us/power-platform</w:t>
      </w:r>
    </w:p>
    <w:p>
      <w:pPr>
        <w:pStyle w:val="ListNumber"/>
      </w:pPr>
      <w:r>
        <w:t>Salesforce. Trust Layer, Agentforce Developer Guide. https://developer.salesforce.com/docs/ai/agentforce/guide/trust.html</w:t>
      </w:r>
    </w:p>
    <w:p>
      <w:pPr>
        <w:pStyle w:val="ListNumber"/>
      </w:pPr>
      <w:r>
        <w:t>Salesforce. Policy-Based Governance in Data 360. https://help.salesforce.com/s/articleView?id=data.c360_a_policy_based_governance_dg.htm&amp;language=en_US&amp;type=5</w:t>
      </w:r>
    </w:p>
    <w:p>
      <w:pPr>
        <w:pStyle w:val="ListNumber"/>
      </w:pPr>
      <w:r>
        <w:t>Salesforce. Data 360. https://www.salesforce.com/data/</w:t>
      </w:r>
    </w:p>
    <w:p>
      <w:pPr>
        <w:pStyle w:val="ListNumber"/>
      </w:pPr>
      <w:r>
        <w:t>Mimir Labs. Mimir Labs Business Plan, supplied July 2026.</w:t>
      </w:r>
    </w:p>
    <w:p>
      <w:pPr>
        <w:pStyle w:val="ListNumber"/>
      </w:pPr>
      <w:r>
        <w:t>Mimir Labs. Yggdrasil Architecture Specification v0.1, supplied July 2026.</w:t>
      </w:r>
    </w:p>
    <w:p>
      <w:pPr>
        <w:pStyle w:val="ListNumber"/>
      </w:pPr>
      <w:r>
        <w:t>Mimir Labs. Yggdrasil 2026 Compliance Wedge Action Package, supplied July 2026.</w:t>
      </w:r>
    </w:p>
    <w:p>
      <w:pPr>
        <w:pStyle w:val="Heading1"/>
      </w:pPr>
      <w:r>
        <w:t>Appendix A. Machine-Readable Score Matrix</w:t>
      </w:r>
    </w:p>
    <w:p>
      <w:r>
        <w:t>The accompanying CSV contains the complete 24-by-5 score matrix used to generate Figure 1. This permits independent reweighting, sensitivity analysis and future score revision.</w:t>
      </w:r>
    </w:p>
    <w:sectPr w:rsidR="00FC693F" w:rsidRPr="0006063C" w:rsidSect="00034616">
      <w:headerReference w:type="default" r:id="rId10"/>
      <w:footerReference w:type="default" r:id="rId11"/>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Analytical working paper | July 30,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MIMIR LABS | ENTERPRISE DATA AND AI CAPABILITY BENCHMARK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