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F5C3D"/>
          <w:sz w:val="52"/>
        </w:rPr>
        <w:t>Why Mimir Labs?</w:t>
      </w:r>
    </w:p>
    <w:p>
      <w:r>
        <w:rPr>
          <w:i/>
          <w:color w:val="5A636B"/>
          <w:sz w:val="24"/>
        </w:rPr>
        <w:t>Business Record Reliability for manufacturers</w:t>
      </w:r>
    </w:p>
    <w:p/>
    <w:p>
      <w:r>
        <w:rPr>
          <w:color w:val="333A40"/>
        </w:rPr>
        <w:t xml:space="preserve">Before a manufacturer invests further in ERP modernization, AI, integration, migration, reporting, or audit readiness, one question sits underneath all of it: </w:t>
      </w:r>
      <w:r>
        <w:rPr>
          <w:b/>
          <w:color w:val="333A40"/>
        </w:rPr>
        <w:t>can the business record even support that work?</w:t>
      </w:r>
      <w:r>
        <w:rPr>
          <w:color w:val="333A40"/>
        </w:rPr>
        <w:t xml:space="preserve"> In most operations the answer is uncertain, because the systems, spreadsheets, reports, and workflows that describe the business do not reliably agree with each other or with what is actually happening on the floor. Mimir Labs exists to close that gap. The concerns below are the ones our platform is built to address, how it addresses each, and where our answer differs in ways that matter.</w:t>
      </w:r>
    </w:p>
    <w:p>
      <w:pPr>
        <w:pStyle w:val="Heading1"/>
      </w:pPr>
      <w:r>
        <w:t>Seven Concerns We Address</w:t>
      </w:r>
    </w:p>
    <w:p>
      <w:pPr>
        <w:pStyle w:val="Heading2"/>
      </w:pPr>
      <w:r>
        <w:t>1. Leadership cannot trust that the official record reflects the real operation.</w:t>
      </w:r>
    </w:p>
    <w:p>
      <w:r>
        <w:rPr>
          <w:color w:val="333A40"/>
        </w:rPr>
        <w:t>Across the ERP, side systems, spreadsheets, reports, and workflows, the same fact often disagrees with itself. No one can say with confidence that the number in the report is the number in the operation, and that uncertainty taxes every financial close, every audit, and every decision that depends on the data.</w:t>
      </w:r>
    </w:p>
    <w:p>
      <w:r>
        <w:rPr>
          <w:b/>
          <w:color w:val="1F5C3D"/>
        </w:rPr>
        <w:t xml:space="preserve">How we address it.  </w:t>
      </w:r>
      <w:r>
        <w:rPr>
          <w:color w:val="333A40"/>
        </w:rPr>
        <w:t>We begin with a Business Record Reliability Diagnostic (Ratatosk) that reads your existing systems, exports, spreadsheets, and reporting models and shows exactly where they disagree. Each finding is translated into a business consequence such as close accuracy, audit exposure, delivery commitments, or migration risk, rather than reported as a raw technical metric.</w:t>
      </w:r>
    </w:p>
    <w:p>
      <w:r>
        <w:rPr>
          <w:b/>
          <w:color w:val="1F5C3D"/>
        </w:rPr>
        <w:t xml:space="preserve">How this differs from what is available today.  </w:t>
      </w:r>
      <w:r>
        <w:rPr>
          <w:color w:val="333A40"/>
        </w:rPr>
        <w:t>Business intelligence, data-observability, and data-quality tools report on data after it lands and assume each source is authoritative. They measure freshness, nulls, and volume. They do not test whether your systems mean the same thing by the same term, and they do not connect a discrepancy to the operational decision it will quietly corrupt.</w:t>
      </w:r>
    </w:p>
    <w:p>
      <w:pPr>
        <w:pStyle w:val="Heading2"/>
      </w:pPr>
      <w:r>
        <w:t>2. The audit trail records that something happened, not that it was valid.</w:t>
      </w:r>
    </w:p>
    <w:p>
      <w:r>
        <w:rPr>
          <w:color w:val="333A40"/>
        </w:rPr>
        <w:t>Systems log changes. A log tells you who changed what and when. It does not tell you whether the resulting state was authorized or true, and it cannot stop an invalid change from being recorded. Evidence for audits is then reconstructed after the fact, at real cost and with real doubt.</w:t>
      </w:r>
    </w:p>
    <w:p>
      <w:r>
        <w:rPr>
          <w:b/>
          <w:color w:val="1F5C3D"/>
        </w:rPr>
        <w:t xml:space="preserve">How we address it.  </w:t>
      </w:r>
      <w:r>
        <w:rPr>
          <w:color w:val="333A40"/>
        </w:rPr>
        <w:t>In governed operations, policy is enforced before the record changes, and the audit trail is generated by the operating path itself. The evidence is a byproduct of the governed action rather than a later reconstruction. A change that violates policy is refused before commit, with a deterministic, human-readable reason.</w:t>
      </w:r>
    </w:p>
    <w:p>
      <w:r>
        <w:rPr>
          <w:b/>
          <w:color w:val="1F5C3D"/>
        </w:rPr>
        <w:t xml:space="preserve">How this differs from what is available today.  </w:t>
      </w:r>
      <w:r>
        <w:rPr>
          <w:color w:val="333A40"/>
        </w:rPr>
        <w:t>Most enterprise systems and governance-risk-compliance tools sit downstream of the commit. They observe and reconstruct. Where enforcement exists at all, it lives in an application workflow that governs a single path. Logging is not enforcement, and the market routinely treats the two as the same thing.</w:t>
      </w:r>
    </w:p>
    <w:p>
      <w:pPr>
        <w:pStyle w:val="Heading2"/>
      </w:pPr>
      <w:r>
        <w:t>3. Governance is attached to screens, so any other path bypasses it.</w:t>
      </w:r>
    </w:p>
    <w:p>
      <w:r>
        <w:rPr>
          <w:color w:val="333A40"/>
        </w:rPr>
        <w:t>The one approval step you built protects one screen. The same business fact can still be changed through a bulk import, an API call, a service account, or a related field the control never watches. A rule that guards one path is not a boundary.</w:t>
      </w:r>
    </w:p>
    <w:p>
      <w:r>
        <w:rPr>
          <w:b/>
          <w:color w:val="1F5C3D"/>
        </w:rPr>
        <w:t xml:space="preserve">How we address it.  </w:t>
      </w:r>
      <w:r>
        <w:rPr>
          <w:color w:val="333A40"/>
        </w:rPr>
        <w:t>Our runtime policy enforcement (ROPE) binds the rule to the business state and checks it at the point where state is committed. The same rule therefore applies to the user interface, integrations, imports, service accounts, and autonomous agents alike. There is no path to the system of record that skips it.</w:t>
      </w:r>
    </w:p>
    <w:p>
      <w:r>
        <w:rPr>
          <w:b/>
          <w:color w:val="1F5C3D"/>
        </w:rPr>
        <w:t xml:space="preserve">How this differs from what is available today.  </w:t>
      </w:r>
      <w:r>
        <w:rPr>
          <w:color w:val="333A40"/>
        </w:rPr>
        <w:t>Workflow engines, robotic-process-automation guardrails, and API gateways each govern a single interface. The store beneath them stays passive and accepts whatever well-formed state it is handed, so every unguarded path is an open write.</w:t>
      </w:r>
    </w:p>
    <w:p>
      <w:pPr>
        <w:pStyle w:val="Heading2"/>
      </w:pPr>
      <w:r>
        <w:t>4. Enterprise AI and autonomous agents make this worse, not better.</w:t>
      </w:r>
    </w:p>
    <w:p>
      <w:r>
        <w:rPr>
          <w:color w:val="333A40"/>
        </w:rPr>
        <w:t>Agents are fast and are rewarded for hitting targets. Given an unguarded path, an agent will use it at scale, with no intent to cheat, and it will read invalid state as ground truth. Wrapping the model does nothing about the write path where the damage actually lands.</w:t>
      </w:r>
    </w:p>
    <w:p>
      <w:r>
        <w:rPr>
          <w:b/>
          <w:color w:val="1F5C3D"/>
        </w:rPr>
        <w:t xml:space="preserve">How we address it.  </w:t>
      </w:r>
      <w:r>
        <w:rPr>
          <w:color w:val="333A40"/>
        </w:rPr>
        <w:t>Because the substrate refuses invalid state before commit, an agent cannot record a business fact that is not authorized or true, regardless of how it is prompted or which endpoint it reaches. Governed truth at the write path is what makes agent output trustworthy in the first place.</w:t>
      </w:r>
    </w:p>
    <w:p>
      <w:r>
        <w:rPr>
          <w:b/>
          <w:color w:val="1F5C3D"/>
        </w:rPr>
        <w:t xml:space="preserve">How this differs from what is available today.  </w:t>
      </w:r>
      <w:r>
        <w:rPr>
          <w:color w:val="333A40"/>
        </w:rPr>
        <w:t>Today's AI governance is prompt filtering, evaluation harnesses, and wrappers around the model. All of it sits around the agent and none of it sits in the write path. It constrains what the agent is asked to do, not what the system will accept.</w:t>
      </w:r>
    </w:p>
    <w:p>
      <w:pPr>
        <w:pStyle w:val="Heading2"/>
      </w:pPr>
      <w:r>
        <w:t>5. The same term means different things across the business.</w:t>
      </w:r>
    </w:p>
    <w:p>
      <w:r>
        <w:rPr>
          <w:color w:val="333A40"/>
        </w:rPr>
        <w:t>Supplier, part, on-time, and approved each mean something slightly different in every system, spreadsheet, and department. That ambiguity is the root cause of the disagreements above and the reason migrations, integrations, and reports drift over time.</w:t>
      </w:r>
    </w:p>
    <w:p>
      <w:r>
        <w:rPr>
          <w:b/>
          <w:color w:val="1F5C3D"/>
        </w:rPr>
        <w:t xml:space="preserve">How we address it.  </w:t>
      </w:r>
      <w:r>
        <w:rPr>
          <w:color w:val="333A40"/>
        </w:rPr>
        <w:t>We capture an agreed business dictionary (Mimisbrunnr) for the path in question, resolving entities and definitions to a single canonical meaning. Those definitions do not stay in a document. They become the invariants the system enforces at commit.</w:t>
      </w:r>
    </w:p>
    <w:p>
      <w:r>
        <w:rPr>
          <w:b/>
          <w:color w:val="1F5C3D"/>
        </w:rPr>
        <w:t xml:space="preserve">How this differs from what is available today.  </w:t>
      </w:r>
      <w:r>
        <w:rPr>
          <w:color w:val="333A40"/>
        </w:rPr>
        <w:t>Master-data-management programs treat this as a long, tool-heavy cataloging exercise that ends in a glossary and a hub no one enforces. We scope meaning to one operational path and make the definition executable, so agreement is enforced rather than merely written down.</w:t>
      </w:r>
    </w:p>
    <w:p>
      <w:pPr>
        <w:pStyle w:val="Heading2"/>
      </w:pPr>
      <w:r>
        <w:t>6. Modernization, migration, integration, and reporting projects fail downstream.</w:t>
      </w:r>
    </w:p>
    <w:p>
      <w:r>
        <w:rPr>
          <w:color w:val="333A40"/>
        </w:rPr>
        <w:t>ERP modernization, data migration, system integration, AI, and reporting initiatives routinely fail late and expensively because the underlying record could not support them. The mess is discovered mid-project, after the budget is already committed.</w:t>
      </w:r>
    </w:p>
    <w:p>
      <w:r>
        <w:rPr>
          <w:b/>
          <w:color w:val="1F5C3D"/>
        </w:rPr>
        <w:t xml:space="preserve">How we address it.  </w:t>
      </w:r>
      <w:r>
        <w:rPr>
          <w:color w:val="333A40"/>
        </w:rPr>
        <w:t>We test whether the record can support the work before you invest, then move data through a controlled migration pathway (Ragnarok) and keep systems aligned with a governed synchronization layer (Bifrost). The target is built on resolved, governed truth rather than a hopeful copy of the source.</w:t>
      </w:r>
    </w:p>
    <w:p>
      <w:r>
        <w:rPr>
          <w:b/>
          <w:color w:val="1F5C3D"/>
        </w:rPr>
        <w:t xml:space="preserve">How this differs from what is available today.  </w:t>
      </w:r>
      <w:r>
        <w:rPr>
          <w:color w:val="333A40"/>
        </w:rPr>
        <w:t>Systems-integrator-led programs assume the source is trustworthy and discover otherwise partway through, exactly when change orders are most expensive. The upstream reliability test is the step the market skips.</w:t>
      </w:r>
    </w:p>
    <w:p>
      <w:pPr>
        <w:pStyle w:val="Heading2"/>
      </w:pPr>
      <w:r>
        <w:t>7. You cannot bet the operation on a rip-and-replace to find out if any of this works.</w:t>
      </w:r>
    </w:p>
    <w:p>
      <w:r>
        <w:rPr>
          <w:color w:val="333A40"/>
        </w:rPr>
        <w:t>The honest objection to every governance and platform pitch is risk. You cannot replace a working system of record on a promise, and you should not be asked to.</w:t>
      </w:r>
    </w:p>
    <w:p>
      <w:r>
        <w:rPr>
          <w:b/>
          <w:color w:val="1F5C3D"/>
        </w:rPr>
        <w:t xml:space="preserve">How we address it.  </w:t>
      </w:r>
      <w:r>
        <w:rPr>
          <w:color w:val="333A40"/>
        </w:rPr>
        <w:t>We prove one narrow operational path first. A governed operations proof cell takes a single high-stakes slice, a common default being purchase-order approval and issuance governed by spend authority, and runs it so the record, the workflow, the report, and the audit trail all tell the same truth, with control violations blocked before commit. It runs on your data, in two to four weeks, with bounded effort and no ERP replacement.</w:t>
      </w:r>
    </w:p>
    <w:p>
      <w:r>
        <w:rPr>
          <w:b/>
          <w:color w:val="1F5C3D"/>
        </w:rPr>
        <w:t xml:space="preserve">How this differs from what is available today.  </w:t>
      </w:r>
      <w:r>
        <w:rPr>
          <w:color w:val="333A40"/>
        </w:rPr>
        <w:t>Incumbent platforms sell multi-year replacements that only prove out after you have committed. We invert the sequence: prove one governed slice, then let the platform earn its way into more of the operation.</w:t>
      </w:r>
    </w:p>
    <w:p>
      <w:pPr>
        <w:pStyle w:val="Heading1"/>
      </w:pPr>
      <w:r>
        <w:t>The Initial Offer: Find, Fix, Replace</w:t>
      </w:r>
    </w:p>
    <w:p>
      <w:r>
        <w:rPr>
          <w:color w:val="333A40"/>
        </w:rPr>
        <w:t>Everything above is delivered as one low-commitment, sequential engagement. You advance only when each stage has proven itself on your own data.</w:t>
      </w:r>
    </w:p>
    <w:p>
      <w:r>
        <w:rPr>
          <w:b/>
          <w:color w:val="1F5C3D"/>
        </w:rPr>
        <w:t xml:space="preserve">Find — Business Record Reliability Diagnostic (Ratatosk).  </w:t>
      </w:r>
      <w:r>
        <w:rPr>
          <w:color w:val="333A40"/>
        </w:rPr>
        <w:t>We read your existing systems, exports, spreadsheets, and reporting models and deliver a short executive diagnostic that shows where your records stop matching the real operation, with each finding mapped to the business consequence it creates. It requires no changes to a live system and proposes no replacement. This is a fixed-fee engagement and the fastest way to see the problem clearly in your own data.</w:t>
      </w:r>
    </w:p>
    <w:p>
      <w:r>
        <w:rPr>
          <w:b/>
          <w:color w:val="1F5C3D"/>
        </w:rPr>
        <w:t xml:space="preserve">Fix — Custom data architecture solutions (a temporarily available offering).  </w:t>
      </w:r>
      <w:r>
        <w:rPr>
          <w:color w:val="333A40"/>
        </w:rPr>
        <w:t>For a limited window, Mimir Labs is offering bespoke custom data architecture work to remediate the specific risks the diagnostic surfaces. Scoped to your environment and to the findings, this ranges from resolving canonical entities and definitions, to standing up a governed operations proof cell on one high-stakes path (a common default being purchase-order approval and issuance governed by spend authority), to controlled migration and governed synchronization between systems. It produces reusable assets, the agreed definitions, a governed path, and cleaner structure, rather than a one-off report, and it is the direct on-ramp between the diagnostic and the platform. Because this is a hands-on services offering, it is available for a limited time and by capacity.</w:t>
      </w:r>
    </w:p>
    <w:p>
      <w:r>
        <w:rPr>
          <w:b/>
          <w:color w:val="1F5C3D"/>
        </w:rPr>
        <w:t xml:space="preserve">Replace — Governance-native system of record (Yggdrasil ERP).  </w:t>
      </w:r>
      <w:r>
        <w:rPr>
          <w:color w:val="333A40"/>
        </w:rPr>
        <w:t>Only after the diagnostic has found the risk and the proof cell has shown one slice running on governed truth does the platform question become worth asking. Yggdrasil ERP is the long-term destination, where governed truth becomes the system of record. It is where this arc ends, not where it starts, and it is entered one proven path at a time.</w:t>
      </w:r>
    </w:p>
    <w:p/>
    <w:p>
      <w:r>
        <w:rPr>
          <w:i/>
          <w:color w:val="333A40"/>
        </w:rPr>
        <w:t>The through-line is simple. We find where your business records stop telling the truth, we fix the data architecture underneath so that they do, and only then do we discuss replacing the substrate itself. You never have to bet the operation to learn whether governed truth is worth it. You see it proven first.</w:t>
      </w:r>
    </w:p>
    <w:p/>
    <w:p>
      <w:pPr>
        <w:jc w:val="center"/>
      </w:pPr>
      <w:r>
        <w:rPr>
          <w:color w:val="5A636B"/>
          <w:sz w:val="18"/>
        </w:rPr>
        <w:t>Mimir Labs  ·  Governance-native enterprise data infrastructure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A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5C3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5C3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