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E35BCD">
      <w:pPr>
        <w:spacing w:before="0" w:after="40"/>
        <w:jc w:val="center"/>
        <w:rPr>
          <w:sz w:val="28"/>
          <w:szCs w:val="36"/>
        </w:rPr>
      </w:pPr>
      <w:r>
        <w:rPr>
          <w:rFonts w:ascii="Calibri" w:hAnsi="Calibri"/>
          <w:b/>
          <w:sz w:val="72"/>
          <w:szCs w:val="36"/>
        </w:rPr>
        <w:t>Max Liu</w:t>
      </w:r>
    </w:p>
    <w:p w14:paraId="2FACF0F3">
      <w:pPr>
        <w:spacing w:before="0" w:after="80"/>
        <w:jc w:val="center"/>
        <w:rPr>
          <w:rFonts w:ascii="Calibri" w:hAnsi="Calibri"/>
          <w:sz w:val="32"/>
          <w:szCs w:val="36"/>
        </w:rPr>
      </w:pPr>
      <w:r>
        <w:rPr>
          <w:rFonts w:ascii="Calibri" w:hAnsi="Calibri"/>
          <w:sz w:val="32"/>
          <w:szCs w:val="36"/>
        </w:rPr>
        <w:t xml:space="preserve">0426 582 002 | </w:t>
      </w:r>
      <w:r>
        <w:rPr>
          <w:rFonts w:ascii="Calibri" w:hAnsi="Calibri"/>
          <w:sz w:val="32"/>
          <w:szCs w:val="36"/>
        </w:rPr>
        <w:fldChar w:fldCharType="begin"/>
      </w:r>
      <w:r>
        <w:rPr>
          <w:rFonts w:ascii="Calibri" w:hAnsi="Calibri"/>
          <w:sz w:val="32"/>
          <w:szCs w:val="36"/>
        </w:rPr>
        <w:instrText xml:space="preserve"> HYPERLINK "mailto:jirong.liu@outlook.com" </w:instrText>
      </w:r>
      <w:r>
        <w:rPr>
          <w:rFonts w:ascii="Calibri" w:hAnsi="Calibri"/>
          <w:sz w:val="32"/>
          <w:szCs w:val="36"/>
        </w:rPr>
        <w:fldChar w:fldCharType="separate"/>
      </w:r>
      <w:r>
        <w:rPr>
          <w:rStyle w:val="20"/>
          <w:rFonts w:ascii="Calibri" w:hAnsi="Calibri"/>
          <w:sz w:val="32"/>
          <w:szCs w:val="36"/>
        </w:rPr>
        <w:t>jirong.liu@outlook.com</w:t>
      </w:r>
      <w:r>
        <w:rPr>
          <w:rFonts w:ascii="Calibri" w:hAnsi="Calibri"/>
          <w:sz w:val="32"/>
          <w:szCs w:val="36"/>
        </w:rPr>
        <w:fldChar w:fldCharType="end"/>
      </w:r>
    </w:p>
    <w:p w14:paraId="1BC9456A">
      <w:pPr>
        <w:spacing w:before="0" w:after="80"/>
        <w:jc w:val="center"/>
        <w:rPr>
          <w:rFonts w:ascii="Calibri" w:hAnsi="Calibri"/>
          <w:sz w:val="32"/>
          <w:szCs w:val="36"/>
        </w:rPr>
      </w:pPr>
    </w:p>
    <w:p w14:paraId="4091CD56">
      <w:pPr>
        <w:spacing w:before="0" w:after="120"/>
        <w:jc w:val="center"/>
        <w:rPr>
          <w:b/>
          <w:bCs/>
          <w:sz w:val="28"/>
          <w:szCs w:val="36"/>
        </w:rPr>
      </w:pPr>
      <w:r>
        <w:rPr>
          <w:rFonts w:ascii="Calibri" w:hAnsi="Calibri"/>
          <w:b/>
          <w:bCs/>
          <w:color w:val="44526A"/>
          <w:sz w:val="40"/>
          <w:szCs w:val="36"/>
        </w:rPr>
        <w:t>Leader of Insights and Analytics | Data Strategy | Innovation</w:t>
      </w:r>
    </w:p>
    <w:p w14:paraId="3D0F9F40">
      <w:pPr>
        <w:tabs>
          <w:tab w:val="left" w:pos="6200"/>
        </w:tabs>
        <w:spacing w:before="80" w:after="40"/>
        <w:rPr>
          <w:rFonts w:ascii="Calibri" w:hAnsi="Calibri"/>
          <w:sz w:val="28"/>
          <w:szCs w:val="36"/>
        </w:rPr>
      </w:pPr>
      <w:r>
        <w:rPr>
          <w:rFonts w:ascii="Calibri" w:hAnsi="Calibri"/>
          <w:sz w:val="28"/>
          <w:szCs w:val="36"/>
        </w:rPr>
        <w:t>Data and analytics leader with over 10 years of experience building and scaling analytics functions, driving institution-wide capability uplift, and translating complex data into actionable insights for executive decision-making. Alumnus of the University of Sydney (Master of Data Science, 2021) with deep familiarity with the institution’s culture and academic environment. Proven track record of leading reporting and visualization transformations — onboarding advanced analytics tools (Alteryx, Power BI), certifying 200+ professionals, and delivering 30+ enterprise dashboards — to embed data-driven cultures within large, matrixed organisations. Experienced in partnering with C-suite and senior leaders to define data strategy, champion innovation through emerging technologies (LLMs, Generative AI), and re-engineer operational processes through advanced analytics. Skilled at conveying complex quantitative concepts in simple, compelling language to influence diverse stakeholders, from technical teams to university executives.</w:t>
      </w:r>
    </w:p>
    <w:p w14:paraId="2B797B5E">
      <w:pPr>
        <w:spacing w:after="80"/>
        <w:rPr>
          <w:rFonts w:ascii="Calibri" w:hAnsi="Calibri"/>
          <w:sz w:val="28"/>
          <w:szCs w:val="36"/>
        </w:rPr>
      </w:pPr>
    </w:p>
    <w:p w14:paraId="36B76098">
      <w:pPr>
        <w:shd w:val="clear" w:color="auto" w:fill="44526A"/>
        <w:spacing w:before="240" w:after="60"/>
        <w:jc w:val="center"/>
        <w:rPr>
          <w:sz w:val="28"/>
          <w:szCs w:val="36"/>
        </w:rPr>
      </w:pPr>
      <w:r>
        <w:rPr>
          <w:rFonts w:ascii="Calibri" w:hAnsi="Calibri"/>
          <w:b/>
          <w:color w:val="FFFFFF"/>
          <w:sz w:val="40"/>
          <w:szCs w:val="36"/>
        </w:rPr>
        <w:t>AREAS OF EXPERTISE</w:t>
      </w:r>
    </w:p>
    <w:p w14:paraId="06DCEB87">
      <w:pPr>
        <w:tabs>
          <w:tab w:val="left" w:pos="6200"/>
        </w:tabs>
        <w:spacing w:before="80" w:after="40"/>
        <w:rPr>
          <w:rFonts w:ascii="Calibri" w:hAnsi="Calibri"/>
          <w:sz w:val="28"/>
          <w:szCs w:val="36"/>
        </w:rPr>
      </w:pPr>
      <w:r>
        <w:rPr>
          <w:rFonts w:ascii="Calibri" w:hAnsi="Calibri"/>
          <w:sz w:val="28"/>
          <w:szCs w:val="36"/>
        </w:rPr>
        <w:t>Insights &amp; Analytics Leadership</w:t>
      </w:r>
      <w:r>
        <w:rPr>
          <w:rFonts w:ascii="Wingdings" w:hAnsi="Wingdings"/>
          <w:color w:val="1D4575"/>
          <w:sz w:val="28"/>
          <w:szCs w:val="36"/>
        </w:rPr>
        <w:t xml:space="preserve"> l </w:t>
      </w:r>
      <w:r>
        <w:rPr>
          <w:rFonts w:ascii="Calibri" w:hAnsi="Calibri"/>
          <w:sz w:val="28"/>
          <w:szCs w:val="36"/>
        </w:rPr>
        <w:t>Team Building, Scaling &amp; Capability Uplift</w:t>
      </w:r>
      <w:r>
        <w:rPr>
          <w:rFonts w:ascii="Wingdings" w:hAnsi="Wingdings"/>
          <w:color w:val="1D4575"/>
          <w:sz w:val="28"/>
          <w:szCs w:val="36"/>
        </w:rPr>
        <w:t xml:space="preserve"> l </w:t>
      </w:r>
      <w:r>
        <w:rPr>
          <w:rFonts w:ascii="Calibri" w:hAnsi="Calibri"/>
          <w:sz w:val="28"/>
          <w:szCs w:val="36"/>
        </w:rPr>
        <w:t>Data Strategy &amp; Operating Model Design</w:t>
      </w:r>
      <w:r>
        <w:rPr>
          <w:rFonts w:ascii="Wingdings" w:hAnsi="Wingdings"/>
          <w:color w:val="1D4575"/>
          <w:sz w:val="28"/>
          <w:szCs w:val="36"/>
        </w:rPr>
        <w:t xml:space="preserve"> l </w:t>
      </w:r>
      <w:r>
        <w:rPr>
          <w:rFonts w:ascii="Calibri" w:hAnsi="Calibri"/>
          <w:sz w:val="28"/>
          <w:szCs w:val="36"/>
        </w:rPr>
        <w:t>Institutional Reporting Modernisation</w:t>
      </w:r>
      <w:r>
        <w:rPr>
          <w:rFonts w:ascii="Wingdings" w:hAnsi="Wingdings"/>
          <w:color w:val="1D4575"/>
          <w:sz w:val="28"/>
          <w:szCs w:val="36"/>
        </w:rPr>
        <w:t xml:space="preserve"> l </w:t>
      </w:r>
      <w:r>
        <w:rPr>
          <w:rFonts w:ascii="Calibri" w:hAnsi="Calibri"/>
          <w:sz w:val="28"/>
          <w:szCs w:val="36"/>
        </w:rPr>
        <w:t>Enterprise Dashboard &amp; Visualization Design</w:t>
      </w:r>
      <w:r>
        <w:rPr>
          <w:rFonts w:ascii="Wingdings" w:hAnsi="Wingdings"/>
          <w:color w:val="1D4575"/>
          <w:sz w:val="28"/>
          <w:szCs w:val="36"/>
        </w:rPr>
        <w:t xml:space="preserve"> l </w:t>
      </w:r>
      <w:r>
        <w:rPr>
          <w:rFonts w:ascii="Calibri" w:hAnsi="Calibri"/>
          <w:sz w:val="28"/>
          <w:szCs w:val="36"/>
        </w:rPr>
        <w:t>Market Research &amp; Trend Analysis</w:t>
      </w:r>
      <w:r>
        <w:rPr>
          <w:rFonts w:ascii="Wingdings" w:hAnsi="Wingdings"/>
          <w:color w:val="1D4575"/>
          <w:sz w:val="28"/>
          <w:szCs w:val="36"/>
        </w:rPr>
        <w:t xml:space="preserve"> l </w:t>
      </w:r>
      <w:r>
        <w:rPr>
          <w:rFonts w:ascii="Calibri" w:hAnsi="Calibri"/>
          <w:sz w:val="28"/>
          <w:szCs w:val="36"/>
        </w:rPr>
        <w:t>Student/Customer Segmentation &amp; Insights</w:t>
      </w:r>
      <w:r>
        <w:rPr>
          <w:rFonts w:ascii="Wingdings" w:hAnsi="Wingdings"/>
          <w:color w:val="1D4575"/>
          <w:sz w:val="28"/>
          <w:szCs w:val="36"/>
        </w:rPr>
        <w:t xml:space="preserve"> l </w:t>
      </w:r>
      <w:r>
        <w:rPr>
          <w:rFonts w:ascii="Calibri" w:hAnsi="Calibri"/>
          <w:sz w:val="28"/>
          <w:szCs w:val="36"/>
        </w:rPr>
        <w:t>Measurement, Attribution &amp; Econometric Modelling</w:t>
      </w:r>
      <w:r>
        <w:rPr>
          <w:rFonts w:ascii="Wingdings" w:hAnsi="Wingdings"/>
          <w:color w:val="1D4575"/>
          <w:sz w:val="28"/>
          <w:szCs w:val="36"/>
        </w:rPr>
        <w:t xml:space="preserve"> l </w:t>
      </w:r>
      <w:r>
        <w:rPr>
          <w:rFonts w:ascii="Calibri" w:hAnsi="Calibri"/>
          <w:sz w:val="28"/>
          <w:szCs w:val="36"/>
        </w:rPr>
        <w:t>Innovation Identification &amp; Championing</w:t>
      </w:r>
      <w:r>
        <w:rPr>
          <w:rFonts w:ascii="Wingdings" w:hAnsi="Wingdings"/>
          <w:color w:val="1D4575"/>
          <w:sz w:val="28"/>
          <w:szCs w:val="36"/>
        </w:rPr>
        <w:t xml:space="preserve"> l </w:t>
      </w:r>
      <w:r>
        <w:rPr>
          <w:rFonts w:ascii="Calibri" w:hAnsi="Calibri"/>
          <w:sz w:val="28"/>
          <w:szCs w:val="36"/>
        </w:rPr>
        <w:t>Data-Driven Culture Change &amp; Literacy</w:t>
      </w:r>
      <w:r>
        <w:rPr>
          <w:rFonts w:ascii="Wingdings" w:hAnsi="Wingdings"/>
          <w:color w:val="1D4575"/>
          <w:sz w:val="28"/>
          <w:szCs w:val="36"/>
        </w:rPr>
        <w:t xml:space="preserve"> l </w:t>
      </w:r>
      <w:r>
        <w:rPr>
          <w:rFonts w:ascii="Calibri" w:hAnsi="Calibri"/>
          <w:sz w:val="28"/>
          <w:szCs w:val="36"/>
        </w:rPr>
        <w:t>Executive Advisory &amp; Influencing</w:t>
      </w:r>
      <w:r>
        <w:rPr>
          <w:rFonts w:ascii="Wingdings" w:hAnsi="Wingdings"/>
          <w:color w:val="1D4575"/>
          <w:sz w:val="28"/>
          <w:szCs w:val="36"/>
        </w:rPr>
        <w:t xml:space="preserve"> l </w:t>
      </w:r>
      <w:r>
        <w:rPr>
          <w:rFonts w:ascii="Calibri" w:hAnsi="Calibri"/>
          <w:sz w:val="28"/>
          <w:szCs w:val="36"/>
        </w:rPr>
        <w:t>Data Storytelling &amp; Stakeholder Communication</w:t>
      </w:r>
      <w:r>
        <w:rPr>
          <w:rFonts w:ascii="Wingdings" w:hAnsi="Wingdings"/>
          <w:color w:val="1D4575"/>
          <w:sz w:val="28"/>
          <w:szCs w:val="36"/>
        </w:rPr>
        <w:t xml:space="preserve"> l </w:t>
      </w:r>
      <w:r>
        <w:rPr>
          <w:rFonts w:ascii="Calibri" w:hAnsi="Calibri"/>
          <w:sz w:val="28"/>
          <w:szCs w:val="36"/>
        </w:rPr>
        <w:t>Complex Data Interrogation &amp; Analysis</w:t>
      </w:r>
      <w:r>
        <w:rPr>
          <w:rFonts w:ascii="Wingdings" w:hAnsi="Wingdings"/>
          <w:color w:val="1D4575"/>
          <w:sz w:val="28"/>
          <w:szCs w:val="36"/>
        </w:rPr>
        <w:t xml:space="preserve"> l </w:t>
      </w:r>
      <w:r>
        <w:rPr>
          <w:rFonts w:ascii="Calibri" w:hAnsi="Calibri"/>
          <w:sz w:val="28"/>
          <w:szCs w:val="36"/>
        </w:rPr>
        <w:t>Data Architecture &amp; Solution Design</w:t>
      </w:r>
      <w:r>
        <w:rPr>
          <w:rFonts w:ascii="Wingdings" w:hAnsi="Wingdings"/>
          <w:color w:val="1D4575"/>
          <w:sz w:val="28"/>
          <w:szCs w:val="36"/>
        </w:rPr>
        <w:t xml:space="preserve"> l </w:t>
      </w:r>
      <w:r>
        <w:rPr>
          <w:rFonts w:ascii="Calibri" w:hAnsi="Calibri"/>
          <w:sz w:val="28"/>
          <w:szCs w:val="36"/>
        </w:rPr>
        <w:t>Reporting Framework Design</w:t>
      </w:r>
      <w:r>
        <w:rPr>
          <w:rFonts w:ascii="Wingdings" w:hAnsi="Wingdings"/>
          <w:color w:val="1D4575"/>
          <w:sz w:val="28"/>
          <w:szCs w:val="36"/>
        </w:rPr>
        <w:t xml:space="preserve"> l </w:t>
      </w:r>
      <w:r>
        <w:rPr>
          <w:rFonts w:ascii="Calibri" w:hAnsi="Calibri"/>
          <w:sz w:val="28"/>
          <w:szCs w:val="36"/>
        </w:rPr>
        <w:t>Technology Evaluation &amp; Onboarding</w:t>
      </w:r>
      <w:r>
        <w:rPr>
          <w:rFonts w:ascii="Wingdings" w:hAnsi="Wingdings"/>
          <w:color w:val="1D4575"/>
          <w:sz w:val="28"/>
          <w:szCs w:val="36"/>
        </w:rPr>
        <w:t xml:space="preserve"> l </w:t>
      </w:r>
      <w:r>
        <w:rPr>
          <w:rFonts w:ascii="Calibri" w:hAnsi="Calibri"/>
          <w:sz w:val="28"/>
          <w:szCs w:val="36"/>
        </w:rPr>
        <w:t>Thought Leadership &amp; AI Innovation</w:t>
      </w:r>
      <w:r>
        <w:rPr>
          <w:rFonts w:ascii="Wingdings" w:hAnsi="Wingdings"/>
          <w:color w:val="1D4575"/>
          <w:sz w:val="28"/>
          <w:szCs w:val="36"/>
        </w:rPr>
        <w:t xml:space="preserve"> l </w:t>
      </w:r>
      <w:r>
        <w:rPr>
          <w:rFonts w:ascii="Calibri" w:hAnsi="Calibri"/>
          <w:sz w:val="28"/>
          <w:szCs w:val="36"/>
        </w:rPr>
        <w:t>Agile Project Management</w:t>
      </w:r>
      <w:r>
        <w:rPr>
          <w:rFonts w:ascii="Wingdings" w:hAnsi="Wingdings"/>
          <w:color w:val="1D4575"/>
          <w:sz w:val="28"/>
          <w:szCs w:val="36"/>
        </w:rPr>
        <w:t xml:space="preserve"> l </w:t>
      </w:r>
      <w:r>
        <w:rPr>
          <w:rFonts w:ascii="Calibri" w:hAnsi="Calibri"/>
          <w:sz w:val="28"/>
          <w:szCs w:val="36"/>
        </w:rPr>
        <w:t>Strategic Partnerships &amp; Vendor Management</w:t>
      </w:r>
      <w:r>
        <w:rPr>
          <w:rFonts w:ascii="Wingdings" w:hAnsi="Wingdings"/>
          <w:color w:val="1D4575"/>
          <w:sz w:val="28"/>
          <w:szCs w:val="36"/>
        </w:rPr>
        <w:t xml:space="preserve"> l </w:t>
      </w:r>
      <w:r>
        <w:rPr>
          <w:rFonts w:ascii="Calibri" w:hAnsi="Calibri"/>
          <w:sz w:val="28"/>
          <w:szCs w:val="36"/>
        </w:rPr>
        <w:t>Data Governance &amp; Compliance</w:t>
      </w:r>
      <w:r>
        <w:rPr>
          <w:rFonts w:ascii="Wingdings" w:hAnsi="Wingdings"/>
          <w:color w:val="1D4575"/>
          <w:sz w:val="28"/>
          <w:szCs w:val="36"/>
        </w:rPr>
        <w:t xml:space="preserve"> </w:t>
      </w:r>
      <w:bookmarkStart w:id="0" w:name="_GoBack"/>
      <w:bookmarkEnd w:id="0"/>
    </w:p>
    <w:p w14:paraId="4EAFD3AB">
      <w:pPr>
        <w:tabs>
          <w:tab w:val="left" w:pos="6200"/>
        </w:tabs>
        <w:spacing w:before="80" w:after="40"/>
        <w:rPr>
          <w:rFonts w:ascii="Calibri" w:hAnsi="Calibri"/>
          <w:sz w:val="28"/>
          <w:szCs w:val="36"/>
        </w:rPr>
      </w:pPr>
    </w:p>
    <w:p w14:paraId="756A0EFE">
      <w:pPr>
        <w:shd w:val="clear" w:color="auto" w:fill="44526A"/>
        <w:spacing w:before="240" w:after="60"/>
        <w:jc w:val="center"/>
        <w:rPr>
          <w:sz w:val="28"/>
          <w:szCs w:val="36"/>
        </w:rPr>
      </w:pPr>
      <w:r>
        <w:rPr>
          <w:rFonts w:ascii="Calibri" w:hAnsi="Calibri"/>
          <w:b/>
          <w:color w:val="FFFFFF"/>
          <w:sz w:val="40"/>
          <w:szCs w:val="36"/>
        </w:rPr>
        <w:t>PROFESSIONAL EXPERIENCE</w:t>
      </w:r>
    </w:p>
    <w:p w14:paraId="585F89E8">
      <w:pPr>
        <w:spacing w:before="200" w:after="0"/>
        <w:jc w:val="center"/>
        <w:rPr>
          <w:sz w:val="28"/>
          <w:szCs w:val="36"/>
        </w:rPr>
      </w:pPr>
      <w:r>
        <w:rPr>
          <w:rFonts w:ascii="Calibri" w:hAnsi="Calibri"/>
          <w:b/>
          <w:color w:val="44526A"/>
          <w:sz w:val="40"/>
          <w:szCs w:val="36"/>
        </w:rPr>
        <w:t>Macquarie Group</w:t>
      </w:r>
    </w:p>
    <w:p w14:paraId="3AAEEF1C">
      <w:pPr>
        <w:shd w:val="clear" w:color="auto" w:fill="D4DCE3"/>
        <w:spacing w:before="0" w:after="40"/>
        <w:jc w:val="center"/>
        <w:rPr>
          <w:b/>
          <w:bCs/>
          <w:sz w:val="32"/>
          <w:szCs w:val="40"/>
        </w:rPr>
      </w:pPr>
      <w:r>
        <w:rPr>
          <w:rFonts w:ascii="Calibri" w:hAnsi="Calibri"/>
          <w:b/>
          <w:bCs/>
          <w:sz w:val="32"/>
          <w:szCs w:val="40"/>
        </w:rPr>
        <w:t>Senior Manager – Data Analytics and Digital Transformation | Mar 2018 – Present</w:t>
      </w:r>
    </w:p>
    <w:p w14:paraId="3C2C1A1F">
      <w:pPr>
        <w:spacing w:before="40" w:after="120"/>
        <w:ind w:left="360" w:right="360"/>
        <w:rPr>
          <w:rFonts w:ascii="Calibri" w:hAnsi="Calibri"/>
          <w:i w:val="0"/>
          <w:iCs/>
          <w:sz w:val="28"/>
          <w:szCs w:val="36"/>
        </w:rPr>
      </w:pPr>
      <w:r>
        <w:rPr>
          <w:rFonts w:ascii="Calibri" w:hAnsi="Calibri"/>
          <w:i w:val="0"/>
          <w:iCs/>
          <w:sz w:val="28"/>
          <w:szCs w:val="36"/>
        </w:rPr>
        <w:t>Lead a team of analytics specialists to design and deliver insights, reporting, and data solutions that drive strategic outcomes and operational excellence. Define and execute data and analytics strategy, serving as a trusted advisor to executive stakeholders on measurement frameworks, emerging technologies (including Generative AI), reporting modernisation, and target operating models. Lead transformation projects in collaboration with business, risk, and technology teams to re-engineer operational processes through data automation — converting manual workflows into scalable, insight-rich data products. Champion modern analytics practices and strengthen data literacy and decision-making capability across the organisation.</w:t>
      </w:r>
    </w:p>
    <w:p w14:paraId="261AAFD6">
      <w:pPr>
        <w:spacing w:before="40" w:after="120"/>
        <w:ind w:left="360" w:right="360"/>
        <w:rPr>
          <w:rFonts w:hint="default" w:ascii="Calibri" w:hAnsi="Calibri"/>
          <w:b/>
          <w:bCs/>
          <w:i w:val="0"/>
          <w:iCs/>
          <w:sz w:val="28"/>
          <w:szCs w:val="36"/>
          <w:lang w:val="en-US"/>
        </w:rPr>
      </w:pPr>
      <w:r>
        <w:rPr>
          <w:rFonts w:hint="default"/>
          <w:b/>
          <w:bCs/>
          <w:i w:val="0"/>
          <w:iCs/>
          <w:sz w:val="28"/>
          <w:szCs w:val="36"/>
          <w:lang w:val="en-US"/>
        </w:rPr>
        <w:t>Key contributions:</w:t>
      </w:r>
    </w:p>
    <w:p w14:paraId="292ACEDD">
      <w:pPr>
        <w:keepNext w:val="0"/>
        <w:keepLines w:val="0"/>
        <w:pageBreakBefore w:val="0"/>
        <w:widowControl/>
        <w:kinsoku/>
        <w:wordWrap/>
        <w:overflowPunct/>
        <w:topLinePunct w:val="0"/>
        <w:autoSpaceDE/>
        <w:autoSpaceDN/>
        <w:bidi w:val="0"/>
        <w:adjustRightInd/>
        <w:snapToGrid/>
        <w:spacing w:before="120" w:after="120" w:line="260" w:lineRule="auto"/>
        <w:ind w:left="360" w:hanging="180"/>
        <w:textAlignment w:val="auto"/>
        <w:rPr>
          <w:sz w:val="28"/>
          <w:szCs w:val="36"/>
        </w:rPr>
      </w:pPr>
      <w:r>
        <w:rPr>
          <w:rFonts w:ascii="Wingdings" w:hAnsi="Wingdings"/>
          <w:color w:val="1D4575"/>
          <w:sz w:val="28"/>
          <w:szCs w:val="36"/>
        </w:rPr>
        <w:t xml:space="preserve"> l </w:t>
      </w:r>
      <w:r>
        <w:rPr>
          <w:rFonts w:ascii="Calibri" w:hAnsi="Calibri"/>
          <w:b/>
          <w:bCs/>
          <w:sz w:val="28"/>
          <w:szCs w:val="36"/>
        </w:rPr>
        <w:t xml:space="preserve">Designed and Executed Analytics Operating Model and Reporting Framework: </w:t>
      </w:r>
      <w:r>
        <w:rPr>
          <w:rFonts w:ascii="Calibri" w:hAnsi="Calibri"/>
          <w:sz w:val="28"/>
          <w:szCs w:val="36"/>
        </w:rPr>
        <w:t>Defined and implemented the end-to-end data and analytics strategy for Group Treasury, including designing reporting frameworks, establishing a data champions network, onboarding advanced tools and digital governance, and automating key management reporting — transforming the function into a data-capable analytics team within 12 months.</w:t>
      </w:r>
    </w:p>
    <w:p w14:paraId="79D3E996">
      <w:pPr>
        <w:keepNext w:val="0"/>
        <w:keepLines w:val="0"/>
        <w:pageBreakBefore w:val="0"/>
        <w:widowControl/>
        <w:kinsoku/>
        <w:wordWrap/>
        <w:overflowPunct/>
        <w:topLinePunct w:val="0"/>
        <w:autoSpaceDE/>
        <w:autoSpaceDN/>
        <w:bidi w:val="0"/>
        <w:adjustRightInd/>
        <w:snapToGrid/>
        <w:spacing w:before="120" w:after="120" w:line="260" w:lineRule="auto"/>
        <w:ind w:left="360" w:hanging="180"/>
        <w:textAlignment w:val="auto"/>
        <w:rPr>
          <w:sz w:val="28"/>
          <w:szCs w:val="36"/>
        </w:rPr>
      </w:pPr>
      <w:r>
        <w:rPr>
          <w:rFonts w:ascii="Wingdings" w:hAnsi="Wingdings"/>
          <w:color w:val="1D4575"/>
          <w:sz w:val="28"/>
          <w:szCs w:val="36"/>
        </w:rPr>
        <w:t xml:space="preserve"> l </w:t>
      </w:r>
      <w:r>
        <w:rPr>
          <w:rFonts w:ascii="Calibri" w:hAnsi="Calibri"/>
          <w:b/>
          <w:bCs/>
          <w:sz w:val="28"/>
          <w:szCs w:val="36"/>
        </w:rPr>
        <w:t xml:space="preserve">Advised Senior Leaders as Trusted Strategic Partner: </w:t>
      </w:r>
      <w:r>
        <w:rPr>
          <w:rFonts w:ascii="Calibri" w:hAnsi="Calibri"/>
          <w:sz w:val="28"/>
          <w:szCs w:val="36"/>
        </w:rPr>
        <w:t>Provided expert consultation to executive stakeholders across all levels, translating complex data insights into clear, actionable strategic recommendations. Influenced leadership decisions on operating models, technology investments, reporting frameworks, and AI adoption — operating with discretion and professionalism across diverse internal and external environments.</w:t>
      </w:r>
    </w:p>
    <w:p w14:paraId="18A2D7B6">
      <w:pPr>
        <w:keepNext w:val="0"/>
        <w:keepLines w:val="0"/>
        <w:pageBreakBefore w:val="0"/>
        <w:widowControl/>
        <w:kinsoku/>
        <w:wordWrap/>
        <w:overflowPunct/>
        <w:topLinePunct w:val="0"/>
        <w:autoSpaceDE/>
        <w:autoSpaceDN/>
        <w:bidi w:val="0"/>
        <w:adjustRightInd/>
        <w:snapToGrid/>
        <w:spacing w:before="120" w:after="120" w:line="260" w:lineRule="auto"/>
        <w:ind w:left="360" w:hanging="180"/>
        <w:textAlignment w:val="auto"/>
        <w:rPr>
          <w:sz w:val="28"/>
          <w:szCs w:val="36"/>
        </w:rPr>
      </w:pPr>
      <w:r>
        <w:rPr>
          <w:rFonts w:ascii="Wingdings" w:hAnsi="Wingdings"/>
          <w:color w:val="1D4575"/>
          <w:sz w:val="28"/>
          <w:szCs w:val="36"/>
        </w:rPr>
        <w:t xml:space="preserve"> l </w:t>
      </w:r>
      <w:r>
        <w:rPr>
          <w:rFonts w:ascii="Calibri" w:hAnsi="Calibri"/>
          <w:b/>
          <w:bCs/>
          <w:sz w:val="28"/>
          <w:szCs w:val="36"/>
        </w:rPr>
        <w:t xml:space="preserve">Championed Innovation through Data-Led Process Transformation: </w:t>
      </w:r>
      <w:r>
        <w:rPr>
          <w:rFonts w:ascii="Calibri" w:hAnsi="Calibri"/>
          <w:sz w:val="28"/>
          <w:szCs w:val="36"/>
        </w:rPr>
        <w:t>Identified and delivered 10+ transformation projects using data and analytics to re-engineer operational processes. Automated 30+ BAU processes, built 30+ Power BI dashboards, implemented 30+ workflows, and addressed 100+ data quality issues — surfacing richer insights for business decision-making while eliminating manual inefficiencies.</w:t>
      </w:r>
    </w:p>
    <w:p w14:paraId="79DC97F3">
      <w:pPr>
        <w:keepNext w:val="0"/>
        <w:keepLines w:val="0"/>
        <w:pageBreakBefore w:val="0"/>
        <w:widowControl/>
        <w:kinsoku/>
        <w:wordWrap/>
        <w:overflowPunct/>
        <w:topLinePunct w:val="0"/>
        <w:autoSpaceDE/>
        <w:autoSpaceDN/>
        <w:bidi w:val="0"/>
        <w:adjustRightInd/>
        <w:snapToGrid/>
        <w:spacing w:before="120" w:after="120" w:line="260" w:lineRule="auto"/>
        <w:ind w:left="360" w:hanging="180"/>
        <w:textAlignment w:val="auto"/>
        <w:rPr>
          <w:sz w:val="28"/>
          <w:szCs w:val="36"/>
        </w:rPr>
      </w:pPr>
      <w:r>
        <w:rPr>
          <w:rFonts w:ascii="Wingdings" w:hAnsi="Wingdings"/>
          <w:color w:val="1D4575"/>
          <w:sz w:val="28"/>
          <w:szCs w:val="36"/>
        </w:rPr>
        <w:t xml:space="preserve"> l </w:t>
      </w:r>
      <w:r>
        <w:rPr>
          <w:rFonts w:ascii="Calibri" w:hAnsi="Calibri"/>
          <w:b/>
          <w:bCs/>
          <w:sz w:val="28"/>
          <w:szCs w:val="36"/>
        </w:rPr>
        <w:t xml:space="preserve">Transformed Predictive Insights for Strategic Decision-Making: </w:t>
      </w:r>
      <w:r>
        <w:rPr>
          <w:rFonts w:ascii="Calibri" w:hAnsi="Calibri"/>
          <w:sz w:val="28"/>
          <w:szCs w:val="36"/>
        </w:rPr>
        <w:t>Tech-led a predictive modelling solution that automated monthly analysis under stressed conditions for daily execution. Interrogated and modelled large, complex datasets to generate actionable insights, saving 80,000+ FTE hours and ~$120M in annual funding costs — demonstrating the operational impact of advanced analytics.</w:t>
      </w:r>
    </w:p>
    <w:p w14:paraId="2411E813">
      <w:pPr>
        <w:keepNext w:val="0"/>
        <w:keepLines w:val="0"/>
        <w:pageBreakBefore w:val="0"/>
        <w:widowControl/>
        <w:kinsoku/>
        <w:wordWrap/>
        <w:overflowPunct/>
        <w:topLinePunct w:val="0"/>
        <w:autoSpaceDE/>
        <w:autoSpaceDN/>
        <w:bidi w:val="0"/>
        <w:adjustRightInd/>
        <w:snapToGrid/>
        <w:spacing w:before="120" w:after="120" w:line="260" w:lineRule="auto"/>
        <w:ind w:left="360" w:hanging="180"/>
        <w:textAlignment w:val="auto"/>
        <w:rPr>
          <w:sz w:val="28"/>
          <w:szCs w:val="36"/>
        </w:rPr>
      </w:pPr>
      <w:r>
        <w:rPr>
          <w:rFonts w:ascii="Wingdings" w:hAnsi="Wingdings"/>
          <w:color w:val="1D4575"/>
          <w:sz w:val="28"/>
          <w:szCs w:val="36"/>
        </w:rPr>
        <w:t xml:space="preserve"> l </w:t>
      </w:r>
      <w:r>
        <w:rPr>
          <w:rFonts w:ascii="Calibri" w:hAnsi="Calibri"/>
          <w:b/>
          <w:bCs/>
          <w:sz w:val="28"/>
          <w:szCs w:val="36"/>
        </w:rPr>
        <w:t xml:space="preserve">Unlocked Significant Value through Advanced Analytics: </w:t>
      </w:r>
      <w:r>
        <w:rPr>
          <w:rFonts w:ascii="Calibri" w:hAnsi="Calibri"/>
          <w:sz w:val="28"/>
          <w:szCs w:val="36"/>
        </w:rPr>
        <w:t>Led the creation of a segmentation and behavioural analysis solution enabling account-level scenario modelling, leveraging Dataiku and Power BI. The solution informed methodology review and implementation, releasing $5B in assets for business utilisation.</w:t>
      </w:r>
    </w:p>
    <w:p w14:paraId="1E334806">
      <w:pPr>
        <w:keepNext w:val="0"/>
        <w:keepLines w:val="0"/>
        <w:pageBreakBefore w:val="0"/>
        <w:widowControl/>
        <w:kinsoku/>
        <w:wordWrap/>
        <w:overflowPunct/>
        <w:topLinePunct w:val="0"/>
        <w:autoSpaceDE/>
        <w:autoSpaceDN/>
        <w:bidi w:val="0"/>
        <w:adjustRightInd/>
        <w:snapToGrid/>
        <w:spacing w:before="120" w:after="120" w:line="260" w:lineRule="auto"/>
        <w:ind w:left="398" w:leftChars="100" w:hanging="198" w:hangingChars="71"/>
        <w:textAlignment w:val="auto"/>
      </w:pPr>
      <w:r>
        <w:rPr>
          <w:rFonts w:ascii="Wingdings" w:hAnsi="Wingdings"/>
          <w:color w:val="1D4575"/>
          <w:sz w:val="28"/>
          <w:szCs w:val="36"/>
        </w:rPr>
        <w:t xml:space="preserve"> l </w:t>
      </w:r>
      <w:r>
        <w:rPr>
          <w:rFonts w:ascii="Calibri" w:hAnsi="Calibri"/>
          <w:b/>
          <w:bCs/>
          <w:sz w:val="28"/>
          <w:szCs w:val="36"/>
        </w:rPr>
        <w:t>Led Institution-Wide Uplift of Reporting and Visualisation Practices:</w:t>
      </w:r>
      <w:r>
        <w:rPr>
          <w:rFonts w:ascii="Calibri" w:hAnsi="Calibri"/>
          <w:sz w:val="28"/>
          <w:szCs w:val="36"/>
        </w:rPr>
        <w:t xml:space="preserve"> Spearheaded the enterprise-wide onboarding and adoption of Alteryx and Power BI, delivering learning pathways with 200+ hours of training, user enablement channels, governance requirements and social learning activities. Grew the community from under 30 licensees to over 200 certified professionals within 12 months, with the number of Power BI workspaces and Alteryx Collections increased by 10 times in meantime.</w:t>
      </w:r>
    </w:p>
    <w:p w14:paraId="1B8F4E97">
      <w:pPr>
        <w:keepNext w:val="0"/>
        <w:keepLines w:val="0"/>
        <w:pageBreakBefore w:val="0"/>
        <w:widowControl/>
        <w:kinsoku/>
        <w:wordWrap/>
        <w:overflowPunct/>
        <w:topLinePunct w:val="0"/>
        <w:autoSpaceDE/>
        <w:autoSpaceDN/>
        <w:bidi w:val="0"/>
        <w:adjustRightInd/>
        <w:snapToGrid/>
        <w:spacing w:before="120" w:after="120" w:line="260" w:lineRule="auto"/>
        <w:ind w:left="360" w:hanging="180"/>
        <w:textAlignment w:val="auto"/>
        <w:rPr>
          <w:sz w:val="28"/>
          <w:szCs w:val="36"/>
        </w:rPr>
      </w:pPr>
      <w:r>
        <w:rPr>
          <w:rFonts w:ascii="Wingdings" w:hAnsi="Wingdings"/>
          <w:color w:val="1D4575"/>
          <w:sz w:val="28"/>
          <w:szCs w:val="36"/>
        </w:rPr>
        <w:t xml:space="preserve"> l </w:t>
      </w:r>
      <w:r>
        <w:rPr>
          <w:rFonts w:ascii="Calibri" w:hAnsi="Calibri"/>
          <w:b/>
          <w:bCs/>
          <w:sz w:val="28"/>
          <w:szCs w:val="36"/>
        </w:rPr>
        <w:t xml:space="preserve">Built Analytics Capability and Fostered a Culture of Innovation: </w:t>
      </w:r>
      <w:r>
        <w:rPr>
          <w:rFonts w:ascii="Calibri" w:hAnsi="Calibri"/>
          <w:sz w:val="28"/>
          <w:szCs w:val="36"/>
        </w:rPr>
        <w:t>Co-led data literacy initiatives including skills training, social learning, and a data champions program. Founded the AI Forum to raise awareness, share knowledge, and build organisational readiness for emerging technologies including LLMs and Generative AI — fostering a culture of learning, experimentation, and service excellence.</w:t>
      </w:r>
    </w:p>
    <w:p w14:paraId="47DB4807">
      <w:pPr>
        <w:keepNext w:val="0"/>
        <w:keepLines w:val="0"/>
        <w:pageBreakBefore w:val="0"/>
        <w:widowControl/>
        <w:kinsoku/>
        <w:wordWrap/>
        <w:overflowPunct/>
        <w:topLinePunct w:val="0"/>
        <w:autoSpaceDE/>
        <w:autoSpaceDN/>
        <w:bidi w:val="0"/>
        <w:adjustRightInd/>
        <w:snapToGrid/>
        <w:spacing w:before="120" w:after="120" w:line="260" w:lineRule="auto"/>
        <w:ind w:left="360" w:hanging="180"/>
        <w:textAlignment w:val="auto"/>
        <w:rPr>
          <w:sz w:val="28"/>
          <w:szCs w:val="36"/>
        </w:rPr>
      </w:pPr>
      <w:r>
        <w:rPr>
          <w:rFonts w:ascii="Wingdings" w:hAnsi="Wingdings"/>
          <w:color w:val="1D4575"/>
          <w:sz w:val="28"/>
          <w:szCs w:val="36"/>
        </w:rPr>
        <w:t xml:space="preserve"> l </w:t>
      </w:r>
      <w:r>
        <w:rPr>
          <w:rFonts w:ascii="Calibri" w:hAnsi="Calibri"/>
          <w:b/>
          <w:bCs/>
          <w:sz w:val="28"/>
          <w:szCs w:val="36"/>
        </w:rPr>
        <w:t xml:space="preserve">Strengthened Data Governance and Quality Assurance Capability: </w:t>
      </w:r>
      <w:r>
        <w:rPr>
          <w:rFonts w:ascii="Calibri" w:hAnsi="Calibri"/>
          <w:sz w:val="28"/>
          <w:szCs w:val="36"/>
        </w:rPr>
        <w:t>Established an independent review function providing constructive oversight of data solutions throughout the SDLC — reviewing methodologies, architecture, and outputs. Articulated findings to technical and non-technical stakeholders to drive timely remediation and quality uplift.</w:t>
      </w:r>
    </w:p>
    <w:p w14:paraId="2CA6B9BE">
      <w:pPr>
        <w:spacing w:before="200" w:after="0"/>
        <w:jc w:val="center"/>
        <w:rPr>
          <w:sz w:val="28"/>
          <w:szCs w:val="36"/>
        </w:rPr>
      </w:pPr>
      <w:r>
        <w:rPr>
          <w:rFonts w:ascii="Calibri" w:hAnsi="Calibri"/>
          <w:b/>
          <w:color w:val="44526A"/>
          <w:sz w:val="40"/>
          <w:szCs w:val="36"/>
        </w:rPr>
        <w:t>Commonwealth Bank of Australia</w:t>
      </w:r>
    </w:p>
    <w:p w14:paraId="1A4D2D12">
      <w:pPr>
        <w:shd w:val="clear" w:color="auto" w:fill="D4DCE3"/>
        <w:spacing w:before="0" w:after="40"/>
        <w:jc w:val="center"/>
        <w:rPr>
          <w:rFonts w:ascii="Calibri" w:hAnsi="Calibri"/>
          <w:b/>
          <w:bCs/>
          <w:sz w:val="32"/>
          <w:szCs w:val="40"/>
        </w:rPr>
      </w:pPr>
      <w:r>
        <w:rPr>
          <w:rFonts w:ascii="Calibri" w:hAnsi="Calibri"/>
          <w:b/>
          <w:bCs/>
          <w:sz w:val="32"/>
          <w:szCs w:val="40"/>
        </w:rPr>
        <w:t>Analyst – Financial Planning &amp; Analysis, Institutional Bank &amp; Markets | Mar 2017 – Aug 2018</w:t>
      </w:r>
    </w:p>
    <w:p w14:paraId="094BA0FE">
      <w:pPr>
        <w:spacing w:before="40" w:after="120"/>
        <w:ind w:left="360" w:right="360"/>
        <w:rPr>
          <w:i w:val="0"/>
          <w:iCs/>
          <w:sz w:val="28"/>
          <w:szCs w:val="36"/>
        </w:rPr>
      </w:pPr>
      <w:r>
        <w:rPr>
          <w:rFonts w:ascii="Calibri" w:hAnsi="Calibri"/>
          <w:i w:val="0"/>
          <w:iCs/>
          <w:sz w:val="28"/>
          <w:szCs w:val="36"/>
        </w:rPr>
        <w:t>Partnered with business unit leaders and senior stakeholders to deliver data analysis and insights that informed strategic planning and organisational decision-making. Translated complex datasets into clear, actionable insights through concise reports and presentations to senior leadership.</w:t>
      </w:r>
    </w:p>
    <w:p w14:paraId="7C66C2EF">
      <w:pPr>
        <w:keepNext w:val="0"/>
        <w:keepLines w:val="0"/>
        <w:pageBreakBefore w:val="0"/>
        <w:widowControl/>
        <w:kinsoku/>
        <w:wordWrap/>
        <w:overflowPunct/>
        <w:topLinePunct w:val="0"/>
        <w:autoSpaceDE/>
        <w:autoSpaceDN/>
        <w:bidi w:val="0"/>
        <w:adjustRightInd/>
        <w:snapToGrid/>
        <w:spacing w:before="120" w:after="120" w:line="260" w:lineRule="auto"/>
        <w:ind w:left="374" w:hanging="187"/>
        <w:textAlignment w:val="auto"/>
        <w:rPr>
          <w:sz w:val="28"/>
          <w:szCs w:val="36"/>
        </w:rPr>
      </w:pPr>
      <w:r>
        <w:rPr>
          <w:rFonts w:ascii="Wingdings" w:hAnsi="Wingdings"/>
          <w:color w:val="1D4575"/>
          <w:sz w:val="28"/>
          <w:szCs w:val="36"/>
        </w:rPr>
        <w:t xml:space="preserve"> l </w:t>
      </w:r>
      <w:r>
        <w:rPr>
          <w:rFonts w:ascii="Calibri" w:hAnsi="Calibri"/>
          <w:sz w:val="28"/>
          <w:szCs w:val="36"/>
        </w:rPr>
        <w:t>Tracked and evaluated key performance indicators across business units, identified performance variances through data interrogation, and recommended corrective actions — directly informing leadership decisions on efficiency and goal attainment.</w:t>
      </w:r>
    </w:p>
    <w:p w14:paraId="2DF69617">
      <w:pPr>
        <w:keepNext w:val="0"/>
        <w:keepLines w:val="0"/>
        <w:pageBreakBefore w:val="0"/>
        <w:widowControl/>
        <w:kinsoku/>
        <w:wordWrap/>
        <w:overflowPunct/>
        <w:topLinePunct w:val="0"/>
        <w:autoSpaceDE/>
        <w:autoSpaceDN/>
        <w:bidi w:val="0"/>
        <w:adjustRightInd/>
        <w:snapToGrid/>
        <w:spacing w:before="120" w:after="120" w:line="260" w:lineRule="auto"/>
        <w:ind w:left="374" w:hanging="187"/>
        <w:textAlignment w:val="auto"/>
        <w:rPr>
          <w:sz w:val="28"/>
          <w:szCs w:val="36"/>
        </w:rPr>
      </w:pPr>
      <w:r>
        <w:rPr>
          <w:rFonts w:ascii="Wingdings" w:hAnsi="Wingdings"/>
          <w:color w:val="1D4575"/>
          <w:sz w:val="28"/>
          <w:szCs w:val="36"/>
        </w:rPr>
        <w:t xml:space="preserve"> l </w:t>
      </w:r>
      <w:r>
        <w:rPr>
          <w:rFonts w:ascii="Calibri" w:hAnsi="Calibri"/>
          <w:sz w:val="28"/>
          <w:szCs w:val="36"/>
        </w:rPr>
        <w:t>Partnered with business leaders to develop annual budgets and rolling forecasts — gathering inputs, validating assumptions, and updating projections in response to evolving conditions. Served as a trusted analytics partner, translating quantitative findings into practical strategic recommendations.</w:t>
      </w:r>
    </w:p>
    <w:p w14:paraId="582B3925">
      <w:pPr>
        <w:keepNext w:val="0"/>
        <w:keepLines w:val="0"/>
        <w:pageBreakBefore w:val="0"/>
        <w:widowControl/>
        <w:kinsoku/>
        <w:wordWrap/>
        <w:overflowPunct/>
        <w:topLinePunct w:val="0"/>
        <w:autoSpaceDE/>
        <w:autoSpaceDN/>
        <w:bidi w:val="0"/>
        <w:adjustRightInd/>
        <w:snapToGrid/>
        <w:spacing w:before="120" w:after="120" w:line="260" w:lineRule="auto"/>
        <w:ind w:left="374" w:hanging="187"/>
        <w:textAlignment w:val="auto"/>
        <w:rPr>
          <w:sz w:val="28"/>
          <w:szCs w:val="36"/>
        </w:rPr>
      </w:pPr>
      <w:r>
        <w:rPr>
          <w:rFonts w:ascii="Wingdings" w:hAnsi="Wingdings"/>
          <w:color w:val="1D4575"/>
          <w:sz w:val="28"/>
          <w:szCs w:val="36"/>
        </w:rPr>
        <w:t xml:space="preserve"> l </w:t>
      </w:r>
      <w:r>
        <w:rPr>
          <w:rFonts w:ascii="Calibri" w:hAnsi="Calibri"/>
          <w:sz w:val="28"/>
          <w:szCs w:val="36"/>
        </w:rPr>
        <w:t>Contributed to enterprise-wide strategic initiatives through detailed evaluations, scenario modelling, and business case development for new investments — linking data analysis directly to organisational outcomes.</w:t>
      </w:r>
    </w:p>
    <w:p w14:paraId="2472421E">
      <w:pPr>
        <w:spacing w:before="200" w:after="0"/>
        <w:jc w:val="center"/>
        <w:rPr>
          <w:sz w:val="28"/>
          <w:szCs w:val="36"/>
        </w:rPr>
      </w:pPr>
      <w:r>
        <w:rPr>
          <w:rFonts w:ascii="Calibri" w:hAnsi="Calibri"/>
          <w:b/>
          <w:color w:val="44526A"/>
          <w:sz w:val="40"/>
          <w:szCs w:val="36"/>
        </w:rPr>
        <w:t>Charter Hall Group</w:t>
      </w:r>
    </w:p>
    <w:p w14:paraId="4C5DB370">
      <w:pPr>
        <w:shd w:val="clear" w:color="auto" w:fill="D4DCE3"/>
        <w:spacing w:before="0" w:after="40"/>
        <w:jc w:val="center"/>
        <w:rPr>
          <w:rFonts w:ascii="Calibri" w:hAnsi="Calibri"/>
          <w:b/>
          <w:bCs/>
          <w:sz w:val="32"/>
          <w:szCs w:val="40"/>
        </w:rPr>
      </w:pPr>
      <w:r>
        <w:rPr>
          <w:rFonts w:ascii="Calibri" w:hAnsi="Calibri"/>
          <w:b/>
          <w:bCs/>
          <w:sz w:val="32"/>
          <w:szCs w:val="40"/>
        </w:rPr>
        <w:t>Treasury Officer | Oct 2016 – Mar 2017</w:t>
      </w:r>
    </w:p>
    <w:p w14:paraId="2080EEE9">
      <w:pPr>
        <w:spacing w:before="40" w:after="120"/>
        <w:ind w:left="360" w:right="360"/>
        <w:rPr>
          <w:rFonts w:ascii="Calibri" w:hAnsi="Calibri"/>
          <w:i w:val="0"/>
          <w:iCs/>
          <w:sz w:val="28"/>
          <w:szCs w:val="36"/>
        </w:rPr>
      </w:pPr>
      <w:r>
        <w:rPr>
          <w:rFonts w:ascii="Calibri" w:hAnsi="Calibri"/>
          <w:i w:val="0"/>
          <w:iCs/>
          <w:sz w:val="28"/>
          <w:szCs w:val="36"/>
        </w:rPr>
        <w:t>Managed financial operations across multiple funds, delivering timely reporting and cash flow forecasting to senior stakeholders to support data-driven decision-making and proactive planning.</w:t>
      </w:r>
    </w:p>
    <w:p w14:paraId="61274167">
      <w:pPr>
        <w:keepNext w:val="0"/>
        <w:keepLines w:val="0"/>
        <w:pageBreakBefore w:val="0"/>
        <w:widowControl/>
        <w:kinsoku/>
        <w:wordWrap/>
        <w:overflowPunct/>
        <w:topLinePunct w:val="0"/>
        <w:autoSpaceDE/>
        <w:autoSpaceDN/>
        <w:bidi w:val="0"/>
        <w:adjustRightInd/>
        <w:snapToGrid/>
        <w:spacing w:before="120" w:after="120" w:line="260" w:lineRule="auto"/>
        <w:ind w:left="374" w:hanging="187"/>
        <w:textAlignment w:val="auto"/>
        <w:rPr>
          <w:sz w:val="28"/>
          <w:szCs w:val="36"/>
        </w:rPr>
      </w:pPr>
      <w:r>
        <w:rPr>
          <w:rFonts w:ascii="Wingdings" w:hAnsi="Wingdings"/>
          <w:color w:val="1D4575"/>
          <w:sz w:val="28"/>
          <w:szCs w:val="36"/>
        </w:rPr>
        <w:t xml:space="preserve"> l </w:t>
      </w:r>
      <w:r>
        <w:rPr>
          <w:rFonts w:ascii="Calibri" w:hAnsi="Calibri"/>
          <w:sz w:val="28"/>
          <w:szCs w:val="36"/>
        </w:rPr>
        <w:t>Performed financial analysis to support funding strategies, forecasting, and operational planning — assessing the impact of cash movements and funding activities on fund performance and communicating findings to senior stakeholders.</w:t>
      </w:r>
    </w:p>
    <w:p w14:paraId="6E998A1C">
      <w:pPr>
        <w:keepNext w:val="0"/>
        <w:keepLines w:val="0"/>
        <w:pageBreakBefore w:val="0"/>
        <w:widowControl/>
        <w:kinsoku/>
        <w:wordWrap/>
        <w:overflowPunct/>
        <w:topLinePunct w:val="0"/>
        <w:autoSpaceDE/>
        <w:autoSpaceDN/>
        <w:bidi w:val="0"/>
        <w:adjustRightInd/>
        <w:snapToGrid/>
        <w:spacing w:before="120" w:after="120" w:line="260" w:lineRule="auto"/>
        <w:ind w:left="374" w:hanging="187"/>
        <w:textAlignment w:val="auto"/>
        <w:rPr>
          <w:sz w:val="28"/>
          <w:szCs w:val="36"/>
        </w:rPr>
      </w:pPr>
      <w:r>
        <w:rPr>
          <w:rFonts w:ascii="Wingdings" w:hAnsi="Wingdings"/>
          <w:color w:val="1D4575"/>
          <w:sz w:val="28"/>
          <w:szCs w:val="36"/>
        </w:rPr>
        <w:t xml:space="preserve"> l </w:t>
      </w:r>
      <w:r>
        <w:rPr>
          <w:rFonts w:ascii="Calibri" w:hAnsi="Calibri"/>
          <w:sz w:val="28"/>
          <w:szCs w:val="36"/>
        </w:rPr>
        <w:t>Identified financial risks including interest rate, foreign exchange, and liquidity exposure, and implemented risk mitigation strategies using quantitative models and financial instruments.</w:t>
      </w:r>
    </w:p>
    <w:p w14:paraId="6A5E5EE7">
      <w:pPr>
        <w:spacing w:before="200" w:after="0"/>
        <w:jc w:val="center"/>
        <w:rPr>
          <w:sz w:val="28"/>
          <w:szCs w:val="36"/>
        </w:rPr>
      </w:pPr>
      <w:r>
        <w:rPr>
          <w:rFonts w:ascii="Calibri" w:hAnsi="Calibri"/>
          <w:b/>
          <w:color w:val="44526A"/>
          <w:sz w:val="40"/>
          <w:szCs w:val="36"/>
        </w:rPr>
        <w:t>PwC</w:t>
      </w:r>
    </w:p>
    <w:p w14:paraId="55253007">
      <w:pPr>
        <w:shd w:val="clear" w:color="auto" w:fill="D4DCE3"/>
        <w:spacing w:before="0" w:after="40"/>
        <w:jc w:val="center"/>
        <w:rPr>
          <w:sz w:val="28"/>
          <w:szCs w:val="36"/>
        </w:rPr>
      </w:pPr>
      <w:r>
        <w:rPr>
          <w:rFonts w:ascii="Calibri" w:hAnsi="Calibri"/>
          <w:b/>
          <w:bCs/>
          <w:sz w:val="32"/>
          <w:szCs w:val="40"/>
        </w:rPr>
        <w:t>Senior Auditor | June 2014 – Oct 2016</w:t>
      </w:r>
    </w:p>
    <w:p w14:paraId="5A27C44D">
      <w:pPr>
        <w:spacing w:before="40" w:after="120"/>
        <w:ind w:left="360" w:right="360"/>
        <w:rPr>
          <w:rFonts w:ascii="Calibri" w:hAnsi="Calibri"/>
          <w:i w:val="0"/>
          <w:iCs/>
          <w:sz w:val="28"/>
          <w:szCs w:val="36"/>
        </w:rPr>
      </w:pPr>
      <w:r>
        <w:rPr>
          <w:rFonts w:ascii="Calibri" w:hAnsi="Calibri"/>
          <w:i w:val="0"/>
          <w:iCs/>
          <w:sz w:val="28"/>
          <w:szCs w:val="36"/>
        </w:rPr>
        <w:t>Delivered independent data-driven assurance and advisory services to large, complex organisations. Defined project scope and objectives, interrogated large datasets, and produced clear, actionable reports outlining key findings and strategic recommendations for executive-level stakeholders.</w:t>
      </w:r>
    </w:p>
    <w:p w14:paraId="254BDEB4">
      <w:pPr>
        <w:keepNext w:val="0"/>
        <w:keepLines w:val="0"/>
        <w:pageBreakBefore w:val="0"/>
        <w:widowControl/>
        <w:kinsoku/>
        <w:wordWrap/>
        <w:overflowPunct/>
        <w:topLinePunct w:val="0"/>
        <w:autoSpaceDE/>
        <w:autoSpaceDN/>
        <w:bidi w:val="0"/>
        <w:adjustRightInd/>
        <w:snapToGrid/>
        <w:spacing w:before="120" w:after="120" w:line="260" w:lineRule="auto"/>
        <w:ind w:left="374" w:hanging="187"/>
        <w:textAlignment w:val="auto"/>
        <w:rPr>
          <w:sz w:val="28"/>
          <w:szCs w:val="36"/>
        </w:rPr>
      </w:pPr>
      <w:r>
        <w:rPr>
          <w:rFonts w:ascii="Wingdings" w:hAnsi="Wingdings"/>
          <w:color w:val="1D4575"/>
          <w:sz w:val="28"/>
          <w:szCs w:val="36"/>
        </w:rPr>
        <w:t xml:space="preserve"> l </w:t>
      </w:r>
      <w:r>
        <w:rPr>
          <w:rFonts w:ascii="Calibri" w:hAnsi="Calibri"/>
          <w:sz w:val="28"/>
          <w:szCs w:val="36"/>
        </w:rPr>
        <w:t>Performed end-to-end reviews encompassing control testing, substantive testing, and analytical procedures — interrogating large datasets to verify compliance with Australian Accounting Standards and IFRS.</w:t>
      </w:r>
    </w:p>
    <w:p w14:paraId="075A119D">
      <w:pPr>
        <w:keepNext w:val="0"/>
        <w:keepLines w:val="0"/>
        <w:pageBreakBefore w:val="0"/>
        <w:widowControl/>
        <w:kinsoku/>
        <w:wordWrap/>
        <w:overflowPunct/>
        <w:topLinePunct w:val="0"/>
        <w:autoSpaceDE/>
        <w:autoSpaceDN/>
        <w:bidi w:val="0"/>
        <w:adjustRightInd/>
        <w:snapToGrid/>
        <w:spacing w:before="120" w:after="120" w:line="260" w:lineRule="auto"/>
        <w:ind w:left="374" w:hanging="187"/>
        <w:textAlignment w:val="auto"/>
        <w:rPr>
          <w:sz w:val="28"/>
          <w:szCs w:val="36"/>
        </w:rPr>
      </w:pPr>
      <w:r>
        <w:rPr>
          <w:rFonts w:ascii="Wingdings" w:hAnsi="Wingdings"/>
          <w:color w:val="1D4575"/>
          <w:sz w:val="28"/>
          <w:szCs w:val="36"/>
        </w:rPr>
        <w:t xml:space="preserve"> l </w:t>
      </w:r>
      <w:r>
        <w:rPr>
          <w:rFonts w:ascii="Calibri" w:hAnsi="Calibri"/>
          <w:sz w:val="28"/>
          <w:szCs w:val="36"/>
        </w:rPr>
        <w:t>Conducted compliance reviews across multiple frameworks, distilling complex regulatory obligations into structured, auditable assessments — a skill directly transferable to translating complex data concepts for diverse audiences.</w:t>
      </w:r>
    </w:p>
    <w:p w14:paraId="0F56F9FA">
      <w:pPr>
        <w:keepNext w:val="0"/>
        <w:keepLines w:val="0"/>
        <w:pageBreakBefore w:val="0"/>
        <w:widowControl/>
        <w:kinsoku/>
        <w:wordWrap/>
        <w:overflowPunct/>
        <w:topLinePunct w:val="0"/>
        <w:autoSpaceDE/>
        <w:autoSpaceDN/>
        <w:bidi w:val="0"/>
        <w:adjustRightInd/>
        <w:snapToGrid/>
        <w:spacing w:before="120" w:after="120" w:line="260" w:lineRule="auto"/>
        <w:ind w:left="374" w:hanging="187"/>
        <w:textAlignment w:val="auto"/>
        <w:rPr>
          <w:sz w:val="28"/>
          <w:szCs w:val="36"/>
        </w:rPr>
      </w:pPr>
      <w:r>
        <w:rPr>
          <w:rFonts w:ascii="Wingdings" w:hAnsi="Wingdings"/>
          <w:color w:val="1D4575"/>
          <w:sz w:val="28"/>
          <w:szCs w:val="36"/>
        </w:rPr>
        <w:t xml:space="preserve"> l </w:t>
      </w:r>
      <w:r>
        <w:rPr>
          <w:rFonts w:ascii="Calibri" w:hAnsi="Calibri"/>
          <w:sz w:val="28"/>
          <w:szCs w:val="36"/>
        </w:rPr>
        <w:t>Supervised audit teams during fieldwork, ensuring quality execution while maintaining strong stakeholder relationships, facilitating regular communications, and managing expectations across multiple client environments.</w:t>
      </w:r>
    </w:p>
    <w:p w14:paraId="169D99E8">
      <w:pPr>
        <w:spacing w:before="0" w:after="40"/>
        <w:rPr>
          <w:sz w:val="28"/>
          <w:szCs w:val="36"/>
        </w:rPr>
      </w:pPr>
    </w:p>
    <w:p w14:paraId="1A30B353">
      <w:pPr>
        <w:spacing w:before="0" w:after="40"/>
        <w:rPr>
          <w:sz w:val="28"/>
          <w:szCs w:val="36"/>
        </w:rPr>
      </w:pPr>
      <w:r>
        <w:rPr>
          <w:rFonts w:ascii="Calibri" w:hAnsi="Calibri"/>
          <w:b/>
          <w:sz w:val="28"/>
          <w:szCs w:val="36"/>
        </w:rPr>
        <w:t>ADDITIONAL EXPERIENCE</w:t>
      </w:r>
    </w:p>
    <w:p w14:paraId="6183F9BC">
      <w:pPr>
        <w:ind w:left="360"/>
        <w:rPr>
          <w:sz w:val="28"/>
          <w:szCs w:val="36"/>
        </w:rPr>
      </w:pPr>
      <w:r>
        <w:rPr>
          <w:rFonts w:ascii="Calibri" w:hAnsi="Calibri"/>
          <w:sz w:val="28"/>
          <w:szCs w:val="36"/>
        </w:rPr>
        <w:t>Analyst – Financial Planning &amp; Analysis | Agricultural Bank of China, Aug 2011 – Nov 2013</w:t>
      </w:r>
    </w:p>
    <w:p w14:paraId="7C5E5EE3">
      <w:pPr>
        <w:shd w:val="clear" w:color="auto" w:fill="44526A"/>
        <w:spacing w:before="240" w:after="60"/>
        <w:jc w:val="center"/>
        <w:rPr>
          <w:sz w:val="28"/>
          <w:szCs w:val="36"/>
        </w:rPr>
      </w:pPr>
      <w:r>
        <w:rPr>
          <w:rFonts w:ascii="Calibri" w:hAnsi="Calibri"/>
          <w:b/>
          <w:color w:val="FFFFFF"/>
          <w:sz w:val="40"/>
          <w:szCs w:val="36"/>
        </w:rPr>
        <w:t>EDUCATION &amp; QUALIFICATIONS</w:t>
      </w:r>
    </w:p>
    <w:p w14:paraId="382342C9">
      <w:pPr>
        <w:spacing w:before="0" w:after="0"/>
        <w:rPr>
          <w:sz w:val="28"/>
          <w:szCs w:val="36"/>
        </w:rPr>
      </w:pPr>
      <w:r>
        <w:rPr>
          <w:rFonts w:ascii="Calibri" w:hAnsi="Calibri"/>
          <w:b/>
          <w:sz w:val="28"/>
          <w:szCs w:val="36"/>
        </w:rPr>
        <w:t>EDUCATION</w:t>
      </w:r>
    </w:p>
    <w:p w14:paraId="16EB0E8A">
      <w:pPr>
        <w:ind w:left="360"/>
        <w:rPr>
          <w:sz w:val="28"/>
          <w:szCs w:val="36"/>
        </w:rPr>
      </w:pPr>
      <w:r>
        <w:rPr>
          <w:rFonts w:ascii="Calibri" w:hAnsi="Calibri"/>
          <w:sz w:val="28"/>
          <w:szCs w:val="36"/>
        </w:rPr>
        <w:t>Master of Data Science, The University of Sydney (2021)</w:t>
      </w:r>
    </w:p>
    <w:p w14:paraId="61419F6E">
      <w:pPr>
        <w:ind w:left="360"/>
        <w:rPr>
          <w:rFonts w:ascii="Calibri" w:hAnsi="Calibri"/>
          <w:sz w:val="28"/>
          <w:szCs w:val="36"/>
        </w:rPr>
      </w:pPr>
      <w:r>
        <w:rPr>
          <w:rFonts w:ascii="Calibri" w:hAnsi="Calibri"/>
          <w:sz w:val="28"/>
          <w:szCs w:val="36"/>
        </w:rPr>
        <w:t>Master of Accounting, Macquarie University (2011)</w:t>
      </w:r>
    </w:p>
    <w:p w14:paraId="606B6650">
      <w:pPr>
        <w:ind w:left="360"/>
        <w:rPr>
          <w:rFonts w:ascii="Calibri" w:hAnsi="Calibri"/>
          <w:sz w:val="28"/>
          <w:szCs w:val="36"/>
        </w:rPr>
      </w:pPr>
    </w:p>
    <w:p w14:paraId="3E6D8877">
      <w:pPr>
        <w:spacing w:before="0" w:after="0"/>
        <w:rPr>
          <w:sz w:val="28"/>
          <w:szCs w:val="36"/>
        </w:rPr>
      </w:pPr>
      <w:r>
        <w:rPr>
          <w:rFonts w:ascii="Calibri" w:hAnsi="Calibri"/>
          <w:b/>
          <w:sz w:val="28"/>
          <w:szCs w:val="36"/>
        </w:rPr>
        <w:t>PROFESSIONAL QUALIFICATIONS</w:t>
      </w:r>
    </w:p>
    <w:p w14:paraId="046D4990">
      <w:pPr>
        <w:spacing w:before="40" w:after="120"/>
        <w:ind w:left="360" w:right="360"/>
        <w:rPr>
          <w:rFonts w:ascii="Calibri" w:hAnsi="Calibri"/>
          <w:i w:val="0"/>
          <w:iCs/>
          <w:sz w:val="28"/>
          <w:szCs w:val="36"/>
        </w:rPr>
      </w:pPr>
      <w:r>
        <w:rPr>
          <w:rFonts w:ascii="Calibri" w:hAnsi="Calibri"/>
          <w:i w:val="0"/>
          <w:iCs/>
          <w:sz w:val="28"/>
          <w:szCs w:val="36"/>
        </w:rPr>
        <w:t>Chartered Accountant (CA) | Certified Public Accountant (CPA) | Chartered Institute of Management Accountants (CIMA)</w:t>
      </w:r>
    </w:p>
    <w:p w14:paraId="0BEA88ED">
      <w:pPr>
        <w:shd w:val="clear" w:color="auto" w:fill="44526A"/>
        <w:spacing w:before="240" w:after="60"/>
        <w:jc w:val="center"/>
        <w:rPr>
          <w:sz w:val="28"/>
          <w:szCs w:val="36"/>
        </w:rPr>
      </w:pPr>
      <w:r>
        <w:rPr>
          <w:rFonts w:ascii="Calibri" w:hAnsi="Calibri"/>
          <w:b/>
          <w:color w:val="FFFFFF"/>
          <w:sz w:val="40"/>
          <w:szCs w:val="36"/>
        </w:rPr>
        <w:t>TECHNOLOGY STACK</w:t>
      </w:r>
    </w:p>
    <w:p w14:paraId="42FF06DD">
      <w:pPr>
        <w:spacing w:before="0" w:after="0" w:line="360" w:lineRule="auto"/>
        <w:rPr>
          <w:sz w:val="28"/>
          <w:szCs w:val="36"/>
        </w:rPr>
      </w:pPr>
      <w:r>
        <w:rPr>
          <w:rFonts w:ascii="Calibri" w:hAnsi="Calibri"/>
          <w:b/>
          <w:sz w:val="28"/>
          <w:szCs w:val="36"/>
        </w:rPr>
        <w:t xml:space="preserve">Data Viz &amp; Reporting: </w:t>
      </w:r>
      <w:r>
        <w:rPr>
          <w:rFonts w:ascii="Calibri" w:hAnsi="Calibri"/>
          <w:sz w:val="28"/>
          <w:szCs w:val="36"/>
        </w:rPr>
        <w:t>Power BI, Tableau</w:t>
      </w:r>
    </w:p>
    <w:p w14:paraId="3DFB7EBC">
      <w:pPr>
        <w:spacing w:before="0" w:after="0" w:line="360" w:lineRule="auto"/>
        <w:rPr>
          <w:sz w:val="28"/>
          <w:szCs w:val="36"/>
        </w:rPr>
      </w:pPr>
      <w:r>
        <w:rPr>
          <w:rFonts w:ascii="Calibri" w:hAnsi="Calibri"/>
          <w:b/>
          <w:sz w:val="28"/>
          <w:szCs w:val="36"/>
        </w:rPr>
        <w:t xml:space="preserve">Analytics, Data Science &amp; Platforms: </w:t>
      </w:r>
      <w:r>
        <w:rPr>
          <w:rFonts w:ascii="Calibri" w:hAnsi="Calibri"/>
          <w:sz w:val="28"/>
          <w:szCs w:val="36"/>
        </w:rPr>
        <w:t>Python, SQL, Alteryx, Dataiku, Data Warehouse, Hadoop Data Lake</w:t>
      </w:r>
    </w:p>
    <w:p w14:paraId="3E50F3B1">
      <w:pPr>
        <w:spacing w:before="0" w:after="0" w:line="360" w:lineRule="auto"/>
        <w:rPr>
          <w:sz w:val="28"/>
          <w:szCs w:val="36"/>
        </w:rPr>
      </w:pPr>
      <w:r>
        <w:rPr>
          <w:rFonts w:ascii="Calibri" w:hAnsi="Calibri"/>
          <w:b/>
          <w:sz w:val="28"/>
          <w:szCs w:val="36"/>
        </w:rPr>
        <w:t xml:space="preserve">AI &amp; Emerging Tech: </w:t>
      </w:r>
      <w:r>
        <w:rPr>
          <w:rFonts w:ascii="Calibri" w:hAnsi="Calibri"/>
          <w:sz w:val="28"/>
          <w:szCs w:val="36"/>
        </w:rPr>
        <w:t>Generative AI / LLMs, Claude Code, GitHub Copilot</w:t>
      </w:r>
    </w:p>
    <w:p w14:paraId="76B62565">
      <w:pPr>
        <w:spacing w:before="0" w:after="0" w:line="360" w:lineRule="auto"/>
        <w:rPr>
          <w:sz w:val="28"/>
          <w:szCs w:val="36"/>
        </w:rPr>
      </w:pPr>
      <w:r>
        <w:rPr>
          <w:rFonts w:ascii="Calibri" w:hAnsi="Calibri"/>
          <w:b/>
          <w:sz w:val="28"/>
          <w:szCs w:val="36"/>
        </w:rPr>
        <w:t xml:space="preserve">Delivery &amp; Collaboration: </w:t>
      </w:r>
      <w:r>
        <w:rPr>
          <w:rFonts w:ascii="Calibri" w:hAnsi="Calibri"/>
          <w:sz w:val="28"/>
          <w:szCs w:val="36"/>
        </w:rPr>
        <w:t>Jira, Confluence, Bitbucket, Agile, SDLC</w:t>
      </w:r>
    </w:p>
    <w:p w14:paraId="19DC4618">
      <w:pPr>
        <w:spacing w:before="40" w:after="120" w:line="360" w:lineRule="auto"/>
        <w:ind w:right="360"/>
        <w:rPr>
          <w:sz w:val="28"/>
          <w:szCs w:val="36"/>
        </w:rPr>
      </w:pPr>
      <w:r>
        <w:rPr>
          <w:rFonts w:ascii="Calibri" w:hAnsi="Calibri"/>
          <w:b/>
          <w:sz w:val="28"/>
          <w:szCs w:val="36"/>
        </w:rPr>
        <w:t xml:space="preserve">Governance &amp; Quality: </w:t>
      </w:r>
      <w:r>
        <w:rPr>
          <w:rFonts w:ascii="Calibri" w:hAnsi="Calibri"/>
          <w:sz w:val="28"/>
          <w:szCs w:val="36"/>
        </w:rPr>
        <w:t>Three Lines of Defence (3LoD), APRA Data Risk Guidelines (CPG 235), Data Under Governance (DUG), Product Lifecycle Management</w:t>
      </w:r>
    </w:p>
    <w:p w14:paraId="2665F7F2">
      <w:pPr>
        <w:spacing w:before="160" w:after="0"/>
        <w:rPr>
          <w:sz w:val="28"/>
          <w:szCs w:val="36"/>
        </w:rPr>
      </w:pPr>
    </w:p>
    <w:p w14:paraId="792EC779">
      <w:pPr>
        <w:jc w:val="center"/>
        <w:rPr>
          <w:sz w:val="28"/>
          <w:szCs w:val="36"/>
        </w:rPr>
      </w:pPr>
      <w:r>
        <w:rPr>
          <w:rFonts w:ascii="Calibri" w:hAnsi="Calibri"/>
          <w:i/>
          <w:sz w:val="28"/>
          <w:szCs w:val="36"/>
        </w:rPr>
        <w:t>- References available upon request -</w:t>
      </w:r>
    </w:p>
    <w:sectPr>
      <w:pgSz w:w="18751" w:h="2652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BFF2968"/>
    <w:rsid w:val="BD7F683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59" w:lineRule="auto"/>
    </w:pPr>
    <w:rPr>
      <w:rFonts w:ascii="Calibri" w:hAnsi="Calibri" w:eastAsiaTheme="minorEastAsia" w:cstheme="minorBidi"/>
      <w:sz w:val="20"/>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2013-12-24T19:15:00Z</dcterms:created>
  <dc:creator>python-docx</dc:creator>
  <dc:description>generated by python-docx</dc:description>
  <cp:lastModifiedBy>WPS_1767227127</cp:lastModifiedBy>
  <dcterms:modified xsi:type="dcterms:W3CDTF">2026-05-30T16:21:18Z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E88BBB18FCBDEFAF407D1A6AAD397FF9_42</vt:lpwstr>
  </property>
</Properties>
</file>