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0FF86">
      <w:pPr>
        <w:pStyle w:val="13"/>
        <w:spacing w:line="269" w:lineRule="auto"/>
        <w:jc w:val="center"/>
      </w:pPr>
      <w:r>
        <w:rPr>
          <w:b/>
          <w:color w:val="000000"/>
          <w:sz w:val="48"/>
        </w:rPr>
        <w:t>Max Liu</w:t>
      </w:r>
    </w:p>
    <w:p w14:paraId="5BC335D5">
      <w:pPr>
        <w:pStyle w:val="13"/>
        <w:spacing w:line="269" w:lineRule="auto"/>
        <w:jc w:val="center"/>
      </w:pPr>
      <w:r>
        <w:rPr>
          <w:color w:val="000000"/>
          <w:sz w:val="21"/>
        </w:rPr>
        <w:t>0426 582 002 | jirong.liu@outlook.com</w:t>
      </w:r>
    </w:p>
    <w:p w14:paraId="0F77F5FF">
      <w:pPr>
        <w:pStyle w:val="2"/>
        <w:bidi w:val="0"/>
        <w:jc w:val="center"/>
        <w:rPr>
          <w:rFonts w:hint="default"/>
          <w:lang w:val="en-US"/>
        </w:rPr>
      </w:pPr>
      <w:r>
        <w:t>Data &amp; Analytics | Strategy | Transformation</w:t>
      </w:r>
    </w:p>
    <w:p w14:paraId="6FB9A156">
      <w:pPr>
        <w:pStyle w:val="13"/>
        <w:spacing w:before="120" w:line="264" w:lineRule="auto"/>
        <w:jc w:val="both"/>
        <w:rPr>
          <w:sz w:val="20"/>
        </w:rPr>
      </w:pPr>
      <w:r>
        <w:rPr>
          <w:sz w:val="20"/>
        </w:rPr>
        <w:t>Strategic and impact-driven data and analytics leader with over 10 years of experience building and scaling analytics functions, leading cross-functional teams, and translating complex datasets into commercial strategies and customer outcomes. Proven track record of designing reporting and measurement frameworks, modernising data ecosystems, and embedding data-driven cultures within large-scale, matrix organisations. Expert at partnering with senior leadership to define data strategy, champion digital transformation, and deliver actionable insights — including unlocking $5B in retail funding and saving 80,000+ FTE hours through advanced analytics. Skilled at conveying complex quantitative concepts in simple, compelling language to influence diverse stakeholders. Passionate about empowering organisations to innovate safely by evaluating emerging technologies like LLMs and Generative AI, and building the data literacy and governance capabilities needed to scale.</w:t>
      </w:r>
    </w:p>
    <w:p w14:paraId="44C6062D">
      <w:pPr>
        <w:pStyle w:val="13"/>
        <w:spacing w:before="120" w:line="264" w:lineRule="auto"/>
        <w:jc w:val="both"/>
        <w:rPr>
          <w:sz w:val="20"/>
        </w:rPr>
      </w:pPr>
    </w:p>
    <w:p w14:paraId="4F055CEA">
      <w:pPr>
        <w:shd w:val="clear" w:color="auto" w:fill="44526A"/>
        <w:spacing w:before="240" w:line="269" w:lineRule="auto"/>
        <w:jc w:val="center"/>
      </w:pPr>
      <w:r>
        <w:rPr>
          <w:b/>
          <w:color w:val="FFFFFF"/>
          <w:sz w:val="22"/>
        </w:rPr>
        <w:t>AREAS OF EXPERTISE</w:t>
      </w:r>
    </w:p>
    <w:p w14:paraId="4353DE46">
      <w:r>
        <w:rPr>
          <w:rFonts w:ascii="Calibri"/>
          <w:sz w:val="20"/>
        </w:rPr>
        <w:t>Insights &amp; Analytics Leadership</w:t>
      </w:r>
      <w:r>
        <w:rPr>
          <w:rFonts w:ascii="Wingdings"/>
          <w:color w:val="1D4575"/>
          <w:sz w:val="20"/>
        </w:rPr>
        <w:t xml:space="preserve"> l </w:t>
      </w:r>
      <w:r>
        <w:rPr>
          <w:rFonts w:ascii="Calibri"/>
          <w:sz w:val="20"/>
        </w:rPr>
        <w:t>Data &amp; Analytics Strategy</w:t>
      </w:r>
      <w:r>
        <w:rPr>
          <w:rFonts w:ascii="Wingdings"/>
          <w:color w:val="1D4575"/>
          <w:sz w:val="20"/>
        </w:rPr>
        <w:t xml:space="preserve"> l </w:t>
      </w:r>
      <w:r>
        <w:rPr>
          <w:rFonts w:ascii="Calibri"/>
          <w:sz w:val="20"/>
        </w:rPr>
        <w:t>Team Building, Scaling &amp; Capability Uplift</w:t>
      </w:r>
      <w:r>
        <w:rPr>
          <w:rFonts w:ascii="Wingdings"/>
          <w:color w:val="1D4575"/>
          <w:sz w:val="20"/>
        </w:rPr>
        <w:t xml:space="preserve"> l </w:t>
      </w:r>
      <w:r>
        <w:rPr>
          <w:rFonts w:ascii="Calibri"/>
          <w:sz w:val="20"/>
        </w:rPr>
        <w:t>Data-Driven Culture Change &amp; Literacy</w:t>
      </w:r>
      <w:r>
        <w:rPr>
          <w:rFonts w:ascii="Wingdings"/>
          <w:color w:val="1D4575"/>
          <w:sz w:val="20"/>
        </w:rPr>
        <w:t xml:space="preserve"> l </w:t>
      </w:r>
      <w:r>
        <w:rPr>
          <w:rFonts w:ascii="Calibri"/>
          <w:sz w:val="20"/>
        </w:rPr>
        <w:t>Complex Data Interrogation &amp; Analysis</w:t>
      </w:r>
      <w:r>
        <w:rPr>
          <w:rFonts w:ascii="Wingdings"/>
          <w:color w:val="1D4575"/>
          <w:sz w:val="20"/>
        </w:rPr>
        <w:t xml:space="preserve"> l </w:t>
      </w:r>
      <w:r>
        <w:rPr>
          <w:rFonts w:ascii="Calibri"/>
          <w:sz w:val="20"/>
        </w:rPr>
        <w:t>Enterprise Reporting &amp; Dashboard Design</w:t>
      </w:r>
      <w:r>
        <w:rPr>
          <w:rFonts w:ascii="Wingdings"/>
          <w:color w:val="1D4575"/>
          <w:sz w:val="20"/>
        </w:rPr>
        <w:t xml:space="preserve"> l </w:t>
      </w:r>
      <w:r>
        <w:rPr>
          <w:rFonts w:ascii="Calibri"/>
          <w:sz w:val="20"/>
        </w:rPr>
        <w:t>Institutional Reporting Modernisation</w:t>
      </w:r>
      <w:r>
        <w:rPr>
          <w:rFonts w:ascii="Wingdings"/>
          <w:color w:val="1D4575"/>
          <w:sz w:val="20"/>
        </w:rPr>
        <w:t xml:space="preserve"> l </w:t>
      </w:r>
      <w:r>
        <w:rPr>
          <w:rFonts w:ascii="Calibri"/>
          <w:sz w:val="20"/>
        </w:rPr>
        <w:t>Market Research &amp; Trend Analysis</w:t>
      </w:r>
      <w:r>
        <w:rPr>
          <w:rFonts w:ascii="Wingdings"/>
          <w:color w:val="1D4575"/>
          <w:sz w:val="20"/>
        </w:rPr>
        <w:t xml:space="preserve"> l </w:t>
      </w:r>
      <w:r>
        <w:rPr>
          <w:rFonts w:ascii="Calibri"/>
          <w:sz w:val="20"/>
        </w:rPr>
        <w:t>Measurement, Attribution &amp; Econometric Modelling</w:t>
      </w:r>
      <w:r>
        <w:rPr>
          <w:rFonts w:ascii="Wingdings"/>
          <w:color w:val="1D4575"/>
          <w:sz w:val="20"/>
        </w:rPr>
        <w:t xml:space="preserve"> l </w:t>
      </w:r>
      <w:r>
        <w:rPr>
          <w:rFonts w:ascii="Calibri"/>
          <w:sz w:val="20"/>
        </w:rPr>
        <w:t>Customer Segmentation &amp; Insights</w:t>
      </w:r>
      <w:r>
        <w:rPr>
          <w:rFonts w:ascii="Wingdings"/>
          <w:color w:val="1D4575"/>
          <w:sz w:val="20"/>
        </w:rPr>
        <w:t xml:space="preserve"> l </w:t>
      </w:r>
      <w:r>
        <w:rPr>
          <w:rFonts w:ascii="Calibri"/>
          <w:sz w:val="20"/>
        </w:rPr>
        <w:t>Commercial &amp; Strategic Insight Generation</w:t>
      </w:r>
      <w:r>
        <w:rPr>
          <w:rFonts w:ascii="Wingdings"/>
          <w:color w:val="1D4575"/>
          <w:sz w:val="20"/>
        </w:rPr>
        <w:t xml:space="preserve"> l </w:t>
      </w:r>
      <w:r>
        <w:rPr>
          <w:rFonts w:ascii="Calibri"/>
          <w:sz w:val="20"/>
        </w:rPr>
        <w:t>Innovation Identification &amp; Championing</w:t>
      </w:r>
      <w:r>
        <w:rPr>
          <w:rFonts w:ascii="Wingdings"/>
          <w:color w:val="1D4575"/>
          <w:sz w:val="20"/>
        </w:rPr>
        <w:t xml:space="preserve"> l </w:t>
      </w:r>
      <w:r>
        <w:rPr>
          <w:rFonts w:ascii="Calibri"/>
          <w:sz w:val="20"/>
        </w:rPr>
        <w:t>Reporting Framework Design</w:t>
      </w:r>
      <w:r>
        <w:rPr>
          <w:rFonts w:ascii="Wingdings"/>
          <w:color w:val="1D4575"/>
          <w:sz w:val="20"/>
        </w:rPr>
        <w:t xml:space="preserve"> l </w:t>
      </w:r>
      <w:r>
        <w:rPr>
          <w:rFonts w:ascii="Calibri"/>
          <w:sz w:val="20"/>
        </w:rPr>
        <w:t>Real-Time Data Enablement</w:t>
      </w:r>
      <w:r>
        <w:rPr>
          <w:rFonts w:ascii="Wingdings"/>
          <w:color w:val="1D4575"/>
          <w:sz w:val="20"/>
        </w:rPr>
        <w:t xml:space="preserve"> l </w:t>
      </w:r>
      <w:r>
        <w:rPr>
          <w:rFonts w:ascii="Calibri"/>
          <w:sz w:val="20"/>
        </w:rPr>
        <w:t>Data Architecture &amp; Solution Design</w:t>
      </w:r>
      <w:r>
        <w:rPr>
          <w:rFonts w:ascii="Wingdings"/>
          <w:color w:val="1D4575"/>
          <w:sz w:val="20"/>
        </w:rPr>
        <w:t xml:space="preserve"> l </w:t>
      </w:r>
      <w:r>
        <w:rPr>
          <w:rFonts w:ascii="Calibri"/>
          <w:sz w:val="20"/>
        </w:rPr>
        <w:t>Thought Leadership &amp; AI Innovation</w:t>
      </w:r>
      <w:r>
        <w:rPr>
          <w:rFonts w:ascii="Wingdings"/>
          <w:color w:val="1D4575"/>
          <w:sz w:val="20"/>
        </w:rPr>
        <w:t xml:space="preserve"> l </w:t>
      </w:r>
      <w:r>
        <w:rPr>
          <w:rFonts w:ascii="Calibri"/>
          <w:sz w:val="20"/>
        </w:rPr>
        <w:t>Data Storytelling &amp; Executive Communication</w:t>
      </w:r>
      <w:r>
        <w:rPr>
          <w:rFonts w:ascii="Wingdings"/>
          <w:color w:val="1D4575"/>
          <w:sz w:val="20"/>
        </w:rPr>
        <w:t xml:space="preserve"> l </w:t>
      </w:r>
      <w:r>
        <w:rPr>
          <w:rFonts w:ascii="Calibri"/>
          <w:sz w:val="20"/>
        </w:rPr>
        <w:t>Executive Advisory &amp; Influencing</w:t>
      </w:r>
      <w:r>
        <w:rPr>
          <w:rFonts w:ascii="Wingdings"/>
          <w:color w:val="1D4575"/>
          <w:sz w:val="20"/>
        </w:rPr>
        <w:t xml:space="preserve"> l </w:t>
      </w:r>
      <w:r>
        <w:rPr>
          <w:rFonts w:ascii="Calibri"/>
          <w:sz w:val="20"/>
        </w:rPr>
        <w:t>Technology Evaluation &amp; Onboarding</w:t>
      </w:r>
      <w:r>
        <w:rPr>
          <w:rFonts w:ascii="Wingdings"/>
          <w:color w:val="1D4575"/>
          <w:sz w:val="20"/>
        </w:rPr>
        <w:t xml:space="preserve"> l </w:t>
      </w:r>
      <w:r>
        <w:rPr>
          <w:rFonts w:ascii="Calibri"/>
          <w:sz w:val="20"/>
        </w:rPr>
        <w:t>Agile Project Management</w:t>
      </w:r>
      <w:r>
        <w:rPr>
          <w:rFonts w:ascii="Wingdings"/>
          <w:color w:val="1D4575"/>
          <w:sz w:val="20"/>
        </w:rPr>
        <w:t xml:space="preserve"> l </w:t>
      </w:r>
      <w:r>
        <w:rPr>
          <w:rFonts w:ascii="Calibri"/>
          <w:sz w:val="20"/>
        </w:rPr>
        <w:t>Data Governance &amp; Regulatory Compliance</w:t>
      </w:r>
      <w:r>
        <w:rPr>
          <w:rFonts w:ascii="Wingdings"/>
          <w:color w:val="1D4575"/>
          <w:sz w:val="20"/>
        </w:rPr>
        <w:t xml:space="preserve"> l </w:t>
      </w:r>
      <w:r>
        <w:rPr>
          <w:rFonts w:ascii="Calibri"/>
          <w:sz w:val="20"/>
        </w:rPr>
        <w:t>Model Risk &amp; UDA Risk Management</w:t>
      </w:r>
      <w:r>
        <w:rPr>
          <w:rFonts w:ascii="Wingdings"/>
          <w:color w:val="1D4575"/>
          <w:sz w:val="20"/>
        </w:rPr>
        <w:t xml:space="preserve"> l </w:t>
      </w:r>
      <w:r>
        <w:rPr>
          <w:rFonts w:ascii="Calibri"/>
          <w:sz w:val="20"/>
        </w:rPr>
        <w:t>Strategic Partnerships &amp; Vendor Management</w:t>
      </w:r>
      <w:r>
        <w:rPr>
          <w:rFonts w:ascii="Wingdings"/>
          <w:color w:val="1D4575"/>
          <w:sz w:val="20"/>
        </w:rPr>
        <w:t xml:space="preserve"> l </w:t>
      </w:r>
      <w:r>
        <w:rPr>
          <w:rFonts w:ascii="Calibri"/>
          <w:sz w:val="20"/>
        </w:rPr>
        <w:t>Python | SQL | Alteryx | Dataiku | Power BI | Tableau</w:t>
      </w:r>
      <w:r>
        <w:rPr>
          <w:rFonts w:ascii="Wingdings"/>
          <w:color w:val="1D4575"/>
          <w:sz w:val="20"/>
        </w:rPr>
        <w:t xml:space="preserve"> l </w:t>
      </w:r>
      <w:r>
        <w:rPr>
          <w:rFonts w:ascii="Calibri"/>
          <w:sz w:val="20"/>
        </w:rPr>
        <w:t>Gen AI / LLMs | Claude Code | GitHub Copilot</w:t>
      </w:r>
    </w:p>
    <w:p w14:paraId="098A07B1">
      <w:pPr>
        <w:pStyle w:val="13"/>
        <w:spacing w:before="120" w:line="269" w:lineRule="auto"/>
      </w:pPr>
    </w:p>
    <w:p w14:paraId="4F1DF8C4">
      <w:pPr>
        <w:shd w:val="clear" w:color="auto" w:fill="44526A"/>
        <w:spacing w:before="240" w:line="269" w:lineRule="auto"/>
        <w:jc w:val="center"/>
      </w:pPr>
      <w:r>
        <w:rPr>
          <w:b/>
          <w:color w:val="FFFFFF"/>
          <w:sz w:val="22"/>
        </w:rPr>
        <w:t>PROFESSIONAL EXPERIENCE</w:t>
      </w:r>
    </w:p>
    <w:p w14:paraId="18CAF959">
      <w:pPr>
        <w:spacing w:before="360" w:after="60" w:line="269" w:lineRule="auto"/>
        <w:jc w:val="center"/>
      </w:pPr>
      <w:r>
        <w:rPr>
          <w:b/>
          <w:color w:val="44526A"/>
          <w:sz w:val="24"/>
        </w:rPr>
        <w:t>Macquarie Group</w:t>
      </w:r>
    </w:p>
    <w:p w14:paraId="3F15B990">
      <w:pPr>
        <w:shd w:val="clear" w:color="auto" w:fill="D4DCE3"/>
        <w:spacing w:after="120" w:line="269" w:lineRule="auto"/>
        <w:jc w:val="center"/>
        <w:rPr>
          <w:b/>
          <w:bCs/>
        </w:rPr>
      </w:pPr>
      <w:r>
        <w:rPr>
          <w:b/>
          <w:bCs/>
          <w:color w:val="000000"/>
          <w:sz w:val="20"/>
        </w:rPr>
        <w:t>Senior Manager - Data Analytics and Digital Transformation, Group Treasury | Mar 2018 – Present</w:t>
      </w:r>
    </w:p>
    <w:p w14:paraId="21A8A6DB">
      <w:pPr>
        <w:spacing w:line="269" w:lineRule="auto"/>
        <w:jc w:val="both"/>
      </w:pPr>
      <w:r>
        <w:rPr>
          <w:sz w:val="20"/>
        </w:rPr>
        <w:t>Lead a team of analysts and data professionals to design and deliver analytics, reporting, and data solutions that drive strategic and commercial outcomes. Define and execute data and analytics strategy, serving as a trusted advisor to senior leadership on measurement frameworks, emerging technologies (including Generative AI), governance frameworks, data management, and target operating models. Lead transformation projects in collaboration with business, finance, risk, and technology teams to convert ideas, policies and calculations into fully automated data products and procedures. Validate, design, and implement governance-compliant data solutions and enterprise dashboards that enhance independent decision-making, mitigate risks, and enable data-driven decision-making across the organisation.</w:t>
      </w:r>
    </w:p>
    <w:p w14:paraId="7CF6511B">
      <w:pPr>
        <w:spacing w:before="120" w:line="269" w:lineRule="auto"/>
        <w:jc w:val="both"/>
      </w:pPr>
      <w:r>
        <w:rPr>
          <w:b/>
          <w:i/>
          <w:sz w:val="20"/>
        </w:rPr>
        <w:t>Key Contributions:</w:t>
      </w:r>
    </w:p>
    <w:p w14:paraId="38F9096A">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Scaled Analytics Capability and Data Literacy Across the Organisation: </w:t>
      </w:r>
      <w:r>
        <w:rPr>
          <w:sz w:val="20"/>
        </w:rPr>
        <w:t>Co-led the enterprise-wide onboarding and adoption of Alteryx and Power BI in Group Treasury from 2019 to 2021, including the delivery of frameworks and best practices, learning pathways with 200+ hours of digital skills training, user enablement channels, and social learning activities. By 2021, the number of Alteryx and Power BI licensees reached 200+ (from less than 30) with over 150 certifications (from less than 10) across Group Treasury, and the learning pathways were made available Macquarie-wide with 500+ attendees.</w:t>
      </w:r>
    </w:p>
    <w:p w14:paraId="6D4D7B85">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Designed and Executed Analytics Operating Model and Reporting Framework: </w:t>
      </w:r>
      <w:r>
        <w:rPr>
          <w:sz w:val="20"/>
        </w:rPr>
        <w:t>Defined and implemented the end-to-end data and transformation strategy for Group Treasury, including designing reporting frameworks, establishing a data champions team, onboarding advanced data tools and digital governance, and automating key management reporting processes. The strategy transformed a traditional finance team into a data-capable analytics function — equipped to work with big data, deliver enterprise dashboards, and manage digital risks — within 12 months.</w:t>
      </w:r>
    </w:p>
    <w:p w14:paraId="77C21E95">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Established Independent Data Solution Review &amp; Validation Function: </w:t>
      </w:r>
      <w:r>
        <w:rPr>
          <w:sz w:val="20"/>
        </w:rPr>
        <w:t>Created and led a Business Tech team to provide independent oversight of data solutions throughout the SDLC. Constructively reviewed and challenged methodologies, assumptions, architecture, solution design and outputs to ensure alignment with business requirements and drive the timely remediation of identified risks and observations prior to deployment. Articulated findings to technical and non-technical stakeholders across all levels including developers, product owners, business stakeholders, and data architects.</w:t>
      </w:r>
    </w:p>
    <w:p w14:paraId="68402DFE">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Managed Data, UDA and Model Risks Across Processes and Projects: </w:t>
      </w:r>
      <w:r>
        <w:rPr>
          <w:sz w:val="20"/>
        </w:rPr>
        <w:t>Addressed risks with Macquarie regulatory reporting processes under project Archibald. Worked closely with FPE NFR and GT risk teams in uplifting control design and operation via transformation projects. Contributed to Financial Control Standards on UDA and model risk management.</w:t>
      </w:r>
    </w:p>
    <w:p w14:paraId="1F95C1F0">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Led High-Value Strategic Transformation Projects: </w:t>
      </w:r>
      <w:r>
        <w:rPr>
          <w:sz w:val="20"/>
        </w:rPr>
        <w:t>Spearheaded and delivered 10+ transformation projects in agile environments and successfully managed cross-functional teams of 10+ professionals across Group Treasury, PMO, Risk, COG, and Business. The projects automated 30+ BAU processes, eliminated 100+ manual adjustments, built 30+ Power BI dashboards for enterprise reporting, implemented 30+ workflows, addressed 100+ data quality issues, and created/enhanced 100+ controls.</w:t>
      </w:r>
    </w:p>
    <w:p w14:paraId="5CA7CB14">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Transformed Predictive Analysis for Commercial Decision-Making: </w:t>
      </w:r>
      <w:r>
        <w:rPr>
          <w:sz w:val="20"/>
        </w:rPr>
        <w:t>Tech-led the Target Funding Profile Automation project, architecting a predictive modelling solution that automated monthly analysis of balance sheet runoff under stressed conditions for daily execution. Interrogated and modelled large, complex datasets to generate actionable insights, saving 80,000+ FTE hours and ~$120M in annual funding costs.</w:t>
      </w:r>
    </w:p>
    <w:p w14:paraId="0248E79A">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Unlocked $5B in Commercial Value through Advanced Analytics: </w:t>
      </w:r>
      <w:r>
        <w:rPr>
          <w:sz w:val="20"/>
        </w:rPr>
        <w:t>Led the creation of the BFS Sticky Factors data solution which enabled account-level deposit runoff analysis under user-defined scenarios, leveraging Dataiku, Corporate Data Hub and Power BI. The solution has been used for sticky factors methodology review and implementation, releasing $5B in deposits for business utilisation.</w:t>
      </w:r>
    </w:p>
    <w:p w14:paraId="4883FE55">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Championed AI Innovation and Thought Leadership: </w:t>
      </w:r>
      <w:r>
        <w:rPr>
          <w:sz w:val="20"/>
        </w:rPr>
        <w:t>Proactively explored and developed AI agents and Gen AI applications (outside Macquarie tech environments) to identify practical use cases. Connected with COG AI teams to contribute to group-wide AI products, roadmap and governance. Founded the Group Treasury AI Forum to raise AI awareness, share knowledge, and build organisational readiness for emerging technologies.</w:t>
      </w:r>
    </w:p>
    <w:p w14:paraId="2A1E7A3E">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Enhanced User Developed Application (UDA) Governance: </w:t>
      </w:r>
      <w:r>
        <w:rPr>
          <w:sz w:val="20"/>
        </w:rPr>
        <w:t>Co-led the review of UDAs used in key processes at Group Treasury and uplifted 30+ UDAs in design, development, documentation, and ownership standards.</w:t>
      </w:r>
    </w:p>
    <w:p w14:paraId="1CB885B6">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Served as Trusted Strategic Advisor to Senior Leadership: </w:t>
      </w:r>
      <w:r>
        <w:rPr>
          <w:sz w:val="20"/>
        </w:rPr>
        <w:t>Provided expert consultation to executive stakeholders across the organisation, translating complex data insights into clear, actionable strategic recommendations. Drove leadership priorities based on a holistic view of data, analytics, and commercial opportunities — influencing decisions on operating models, technology investments, and AI adoption at the group level.</w:t>
      </w:r>
    </w:p>
    <w:p w14:paraId="07B038A1">
      <w:pPr>
        <w:spacing w:before="360" w:after="60" w:line="269" w:lineRule="auto"/>
        <w:jc w:val="center"/>
      </w:pPr>
      <w:r>
        <w:rPr>
          <w:b/>
          <w:color w:val="44526A"/>
          <w:sz w:val="24"/>
        </w:rPr>
        <w:t>Commonwealth Bank of Australia</w:t>
      </w:r>
    </w:p>
    <w:p w14:paraId="5AE3D084">
      <w:pPr>
        <w:shd w:val="clear" w:color="auto" w:fill="D4DCE3"/>
        <w:spacing w:after="120" w:line="269" w:lineRule="auto"/>
        <w:jc w:val="center"/>
        <w:rPr>
          <w:b/>
          <w:bCs/>
        </w:rPr>
      </w:pPr>
      <w:r>
        <w:rPr>
          <w:b/>
          <w:bCs/>
          <w:color w:val="000000"/>
          <w:sz w:val="20"/>
        </w:rPr>
        <w:t>Analyst – Financial Planning &amp; Analysis, Institutional Bank &amp; Markets | Mar 2017 – Aug 2018</w:t>
      </w:r>
    </w:p>
    <w:p w14:paraId="4BF98CF4">
      <w:pPr>
        <w:spacing w:line="269" w:lineRule="auto"/>
        <w:jc w:val="both"/>
      </w:pPr>
      <w:r>
        <w:rPr>
          <w:sz w:val="20"/>
        </w:rPr>
        <w:t>Partnered with business unit leaders, product managers, and the Global Trade Finance division to deliver financial and operational data analysis that informed strategic planning and commercial decision-making. Translated complex datasets into clear, actionable insights through concise management reports, regularly presented to senior leadership.</w:t>
      </w:r>
    </w:p>
    <w:p w14:paraId="63FC3CB1">
      <w:pPr>
        <w:spacing w:before="120" w:line="269" w:lineRule="auto"/>
        <w:jc w:val="both"/>
      </w:pPr>
      <w:r>
        <w:rPr>
          <w:b/>
          <w:i/>
          <w:sz w:val="20"/>
        </w:rPr>
        <w:t>Key Contributions:</w:t>
      </w:r>
    </w:p>
    <w:p w14:paraId="6A6A4079">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Designed and Maintained KPI and Performance Measurement Frameworks: </w:t>
      </w:r>
      <w:r>
        <w:rPr>
          <w:sz w:val="20"/>
        </w:rPr>
        <w:t>Tracked and evaluated key financial and operational performance indicators across business units, identified performance variances, investigated root causes through data interrogation, and recommended corrective actions to improve efficiency, profitability, and goal attainment.</w:t>
      </w:r>
    </w:p>
    <w:p w14:paraId="76308C42">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Provided Data-Driven Consultation to Business Leaders: </w:t>
      </w:r>
      <w:r>
        <w:rPr>
          <w:sz w:val="20"/>
        </w:rPr>
        <w:t>Partnered with business unit leaders and product managers to develop annual budgets and rolling financial forecasts — gathering inputs, validating assumptions, and updating forecasts in response to evolving business conditions. Served as a trusted analytics partner, translating quantitative findings into practical commercial recommendations.</w:t>
      </w:r>
    </w:p>
    <w:p w14:paraId="0E53C2B6">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Delivered Analytics to Drive Enterprise Strategy and Commercial Outcomes: </w:t>
      </w:r>
      <w:r>
        <w:rPr>
          <w:sz w:val="20"/>
        </w:rPr>
        <w:t>Contributed to enterprise-wide strategic initiatives by delivering detailed financial evaluations, scenario modelling, and business case development for new investments and growth projects — directly linking data analysis to commercial outcomes.</w:t>
      </w:r>
    </w:p>
    <w:p w14:paraId="0AAB0F38">
      <w:pPr>
        <w:spacing w:before="360" w:after="60" w:line="269" w:lineRule="auto"/>
        <w:jc w:val="center"/>
      </w:pPr>
      <w:r>
        <w:rPr>
          <w:b/>
          <w:color w:val="44526A"/>
          <w:sz w:val="24"/>
        </w:rPr>
        <w:t>Charter Hall Group</w:t>
      </w:r>
    </w:p>
    <w:p w14:paraId="7EBB69B1">
      <w:pPr>
        <w:shd w:val="clear" w:color="auto" w:fill="D4DCE3"/>
        <w:spacing w:after="120" w:line="269" w:lineRule="auto"/>
        <w:jc w:val="center"/>
        <w:rPr>
          <w:b/>
          <w:bCs/>
        </w:rPr>
      </w:pPr>
      <w:r>
        <w:rPr>
          <w:b/>
          <w:bCs/>
          <w:color w:val="000000"/>
          <w:sz w:val="20"/>
        </w:rPr>
        <w:t>Treasury Officer | Oct 2016 – Mar 2017</w:t>
      </w:r>
    </w:p>
    <w:p w14:paraId="5CC22F09">
      <w:pPr>
        <w:spacing w:line="269" w:lineRule="auto"/>
        <w:jc w:val="both"/>
      </w:pPr>
      <w:r>
        <w:rPr>
          <w:sz w:val="20"/>
        </w:rPr>
        <w:t>Managed daily cash flow, liquidity, and funding operations across multiple property funds to ensure availability of financial resources for operational and strategic requirements. Prepared and maintained short- and medium-term cash flow forecasts to support proactive financial planning and fund management. Delivered timely reporting on cash position, liquidity status, and debt exposure to fund managers and senior stakeholders to support data-driven decision-making.</w:t>
      </w:r>
    </w:p>
    <w:p w14:paraId="209E1551">
      <w:pPr>
        <w:spacing w:before="120" w:line="269" w:lineRule="auto"/>
        <w:jc w:val="both"/>
      </w:pPr>
      <w:r>
        <w:rPr>
          <w:b/>
          <w:i/>
          <w:sz w:val="20"/>
        </w:rPr>
        <w:t>Key Contributions:</w:t>
      </w:r>
    </w:p>
    <w:p w14:paraId="54CE6B6F">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Administered Full Debt Portfolio Lifecycle: </w:t>
      </w:r>
      <w:r>
        <w:rPr>
          <w:sz w:val="20"/>
        </w:rPr>
        <w:t>Managed the full debt portfolio lifecycle, including debt applications, drawdowns, repayments, and covenant compliance, in coordination with lenders and internal teams.</w:t>
      </w:r>
    </w:p>
    <w:p w14:paraId="2C816E07">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Conducted Financial Analysis to Support Funding Strategy: </w:t>
      </w:r>
      <w:r>
        <w:rPr>
          <w:sz w:val="20"/>
        </w:rPr>
        <w:t>Performed financial analysis to support funding strategies and assess the impact of cash movements and borrowing activities on fund performance.</w:t>
      </w:r>
    </w:p>
    <w:p w14:paraId="60237F83">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Identified and Mitigated Financial Risks through Quantitative Analysis: </w:t>
      </w:r>
      <w:r>
        <w:rPr>
          <w:sz w:val="20"/>
        </w:rPr>
        <w:t>Identified financial risks, including interest rate, foreign exchange, and liquidity risk, and implemented risk mitigation strategies using derivatives and financial instruments.</w:t>
      </w:r>
    </w:p>
    <w:p w14:paraId="05CBC117">
      <w:pPr>
        <w:spacing w:before="360" w:after="60" w:line="269" w:lineRule="auto"/>
        <w:jc w:val="center"/>
      </w:pPr>
      <w:r>
        <w:rPr>
          <w:b/>
          <w:color w:val="44526A"/>
          <w:sz w:val="24"/>
        </w:rPr>
        <w:t>PwC</w:t>
      </w:r>
    </w:p>
    <w:p w14:paraId="49E0F517">
      <w:pPr>
        <w:shd w:val="clear" w:color="auto" w:fill="D4DCE3"/>
        <w:spacing w:after="120" w:line="269" w:lineRule="auto"/>
        <w:jc w:val="center"/>
        <w:rPr>
          <w:b/>
          <w:bCs/>
        </w:rPr>
      </w:pPr>
      <w:r>
        <w:rPr>
          <w:b/>
          <w:bCs/>
          <w:color w:val="000000"/>
          <w:sz w:val="20"/>
        </w:rPr>
        <w:t>Senior Auditor | June 2014 – Oct 2016</w:t>
      </w:r>
    </w:p>
    <w:p w14:paraId="6D4992F5">
      <w:pPr>
        <w:spacing w:line="269" w:lineRule="auto"/>
        <w:jc w:val="both"/>
      </w:pPr>
      <w:r>
        <w:rPr>
          <w:sz w:val="20"/>
        </w:rPr>
        <w:t>Delivered independent assurance and data-driven advisory services to top-tier financial services clients in Australia and contributed to the integrity and reliability of financial reporting and compliance. Assessed client-specific risks, defined scope and objectives, and developed audit work programs aligned with regulatory and stakeholder expectations. Drafted clear, actionable audit reports outlining key findings, risk impacts, and management responses. Supported executive-level decision-making and regulatory submissions.</w:t>
      </w:r>
    </w:p>
    <w:p w14:paraId="0C6A95FC">
      <w:pPr>
        <w:spacing w:before="120" w:line="269" w:lineRule="auto"/>
        <w:jc w:val="both"/>
      </w:pPr>
      <w:r>
        <w:rPr>
          <w:b/>
          <w:i/>
          <w:sz w:val="20"/>
        </w:rPr>
        <w:t>Key Contributions:</w:t>
      </w:r>
    </w:p>
    <w:p w14:paraId="4DB0F0F9">
      <w:pPr>
        <w:pStyle w:val="143"/>
        <w:spacing w:after="60" w:line="252" w:lineRule="auto"/>
        <w:ind w:left="720" w:hanging="360"/>
        <w:jc w:val="both"/>
      </w:pPr>
      <w:bookmarkStart w:id="0" w:name="_GoBack"/>
      <w:r>
        <w:rPr>
          <w:rFonts w:ascii="Wingdings" w:hAnsi="Wingdings"/>
          <w:color w:val="1D4575"/>
          <w:sz w:val="20"/>
        </w:rPr>
        <w:t>•</w:t>
      </w:r>
      <w:r>
        <w:rPr>
          <w:sz w:val="20"/>
        </w:rPr>
        <w:t xml:space="preserve"> </w:t>
      </w:r>
      <w:r>
        <w:rPr>
          <w:b/>
          <w:sz w:val="20"/>
        </w:rPr>
        <w:t xml:space="preserve">Executed Independent Reviews through Data-Driven Analysis: </w:t>
      </w:r>
      <w:r>
        <w:rPr>
          <w:sz w:val="20"/>
        </w:rPr>
        <w:t>Performed end-to-end reviews encompassing control testing, substantive testing, and analytical procedures. Interrogated large datasets to verify compliance with Australian Accounting Standards and IFRS.</w:t>
      </w:r>
    </w:p>
    <w:p w14:paraId="3E58CD2A">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Translated Complex Regulatory Requirements into Practical Assessments: </w:t>
      </w:r>
      <w:r>
        <w:rPr>
          <w:sz w:val="20"/>
        </w:rPr>
        <w:t>Conducted compliance reviews across multiple frameworks including SOX, Pillar 3 disclosures, Liquidity Coverage Ratio (LCR), and Net Stable Funding Ratio (NSFR), distilling complex regulatory obligations into structured, auditable assessments.</w:t>
      </w:r>
    </w:p>
    <w:p w14:paraId="2425298A">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Performed Data-Driven Analysis for Risk and Process Improvement: </w:t>
      </w:r>
      <w:r>
        <w:rPr>
          <w:sz w:val="20"/>
        </w:rPr>
        <w:t>Analysed business processes and internal controls to identify operational risks, inefficiencies, and improvement opportunities, providing strategic recommendations grounded in PwC best practices.</w:t>
      </w:r>
    </w:p>
    <w:p w14:paraId="0494224B">
      <w:pPr>
        <w:pStyle w:val="143"/>
        <w:spacing w:after="60" w:line="252" w:lineRule="auto"/>
        <w:ind w:left="720" w:hanging="360"/>
        <w:jc w:val="both"/>
      </w:pPr>
      <w:r>
        <w:rPr>
          <w:rFonts w:ascii="Wingdings" w:hAnsi="Wingdings"/>
          <w:color w:val="1D4575"/>
          <w:sz w:val="20"/>
        </w:rPr>
        <w:t>•</w:t>
      </w:r>
      <w:r>
        <w:rPr>
          <w:sz w:val="20"/>
        </w:rPr>
        <w:t xml:space="preserve"> </w:t>
      </w:r>
      <w:r>
        <w:rPr>
          <w:b/>
          <w:sz w:val="20"/>
        </w:rPr>
        <w:t xml:space="preserve">Led and Developed Audit Teams: </w:t>
      </w:r>
      <w:r>
        <w:rPr>
          <w:sz w:val="20"/>
        </w:rPr>
        <w:t>Supervised audit teams during fieldwork for high-quality execution of procedures, while maintaining strong client relationships, facilitating regular communications, and managing expectations.</w:t>
      </w:r>
    </w:p>
    <w:bookmarkEnd w:id="0"/>
    <w:p w14:paraId="1A29593A">
      <w:pPr>
        <w:spacing w:before="120" w:line="269" w:lineRule="auto"/>
        <w:jc w:val="both"/>
        <w:rPr>
          <w:b/>
          <w:i/>
          <w:sz w:val="20"/>
        </w:rPr>
      </w:pPr>
      <w:r>
        <w:rPr>
          <w:b/>
          <w:i/>
          <w:sz w:val="20"/>
        </w:rPr>
        <w:t>ADDITIONAL EXPERIENCES:</w:t>
      </w:r>
    </w:p>
    <w:p w14:paraId="7753D973">
      <w:pPr>
        <w:pStyle w:val="143"/>
        <w:spacing w:line="269" w:lineRule="auto"/>
        <w:ind w:left="720" w:hanging="360"/>
        <w:jc w:val="both"/>
      </w:pPr>
      <w:r>
        <w:rPr>
          <w:rFonts w:ascii="Wingdings" w:hAnsi="Wingdings"/>
          <w:color w:val="1D4575"/>
          <w:sz w:val="20"/>
        </w:rPr>
        <w:t>•</w:t>
      </w:r>
      <w:r>
        <w:rPr>
          <w:sz w:val="20"/>
        </w:rPr>
        <w:t xml:space="preserve"> Analyst – Financial Planning &amp; Analysis | Agricultural Bank of China, Aug 2011 – Nov 2013</w:t>
      </w:r>
    </w:p>
    <w:p w14:paraId="7B70A798">
      <w:pPr>
        <w:shd w:val="clear" w:color="auto" w:fill="44526A"/>
        <w:spacing w:before="240" w:line="269" w:lineRule="auto"/>
        <w:jc w:val="center"/>
      </w:pPr>
      <w:r>
        <w:rPr>
          <w:b/>
          <w:color w:val="FFFFFF"/>
          <w:sz w:val="22"/>
        </w:rPr>
        <w:t>EDUCATION &amp; QUALIFICATIONS</w:t>
      </w:r>
    </w:p>
    <w:p w14:paraId="17867190">
      <w:pPr>
        <w:pStyle w:val="13"/>
        <w:spacing w:before="120" w:line="269" w:lineRule="auto"/>
        <w:rPr>
          <w:b/>
          <w:bCs w:val="0"/>
          <w:u w:val="none"/>
        </w:rPr>
      </w:pPr>
      <w:r>
        <w:rPr>
          <w:b/>
          <w:bCs w:val="0"/>
          <w:i w:val="0"/>
          <w:sz w:val="20"/>
          <w:u w:val="none"/>
        </w:rPr>
        <w:t>EDUCATION</w:t>
      </w:r>
    </w:p>
    <w:p w14:paraId="24DE0F92">
      <w:pPr>
        <w:pStyle w:val="13"/>
        <w:numPr>
          <w:ilvl w:val="0"/>
          <w:numId w:val="7"/>
        </w:numPr>
        <w:spacing w:before="120" w:line="269" w:lineRule="auto"/>
        <w:ind w:left="720" w:leftChars="0" w:hanging="360" w:firstLineChars="0"/>
        <w:jc w:val="both"/>
      </w:pPr>
      <w:r>
        <w:rPr>
          <w:b/>
          <w:sz w:val="20"/>
        </w:rPr>
        <w:t>Master of Data Science, The University of Sydney (2021)</w:t>
      </w:r>
    </w:p>
    <w:p w14:paraId="6F1E0C1C">
      <w:pPr>
        <w:pStyle w:val="13"/>
        <w:numPr>
          <w:ilvl w:val="0"/>
          <w:numId w:val="7"/>
        </w:numPr>
        <w:spacing w:before="120" w:line="269" w:lineRule="auto"/>
        <w:ind w:left="720" w:leftChars="0" w:hanging="360" w:firstLineChars="0"/>
        <w:jc w:val="both"/>
      </w:pPr>
      <w:r>
        <w:rPr>
          <w:b/>
          <w:sz w:val="20"/>
        </w:rPr>
        <w:t>Master of Accounting, Macquarie University (2011)</w:t>
      </w:r>
    </w:p>
    <w:p w14:paraId="2EE7B3B7">
      <w:pPr>
        <w:pStyle w:val="13"/>
        <w:spacing w:before="120" w:line="269" w:lineRule="auto"/>
        <w:rPr>
          <w:u w:val="none"/>
        </w:rPr>
      </w:pPr>
      <w:r>
        <w:rPr>
          <w:b/>
          <w:i w:val="0"/>
          <w:sz w:val="20"/>
          <w:u w:val="none"/>
        </w:rPr>
        <w:t>PROFESSIONAL QUALIFICATIONS</w:t>
      </w:r>
    </w:p>
    <w:p w14:paraId="727B36C3">
      <w:pPr>
        <w:pStyle w:val="13"/>
        <w:numPr>
          <w:ilvl w:val="0"/>
          <w:numId w:val="7"/>
        </w:numPr>
        <w:spacing w:before="120" w:line="269" w:lineRule="auto"/>
        <w:ind w:left="720" w:leftChars="0" w:hanging="360" w:firstLineChars="0"/>
        <w:jc w:val="both"/>
      </w:pPr>
      <w:r>
        <w:rPr>
          <w:b/>
          <w:sz w:val="20"/>
        </w:rPr>
        <w:t>Chartered Accountant (CA)</w:t>
      </w:r>
    </w:p>
    <w:p w14:paraId="101F91DB">
      <w:pPr>
        <w:pStyle w:val="13"/>
        <w:numPr>
          <w:ilvl w:val="0"/>
          <w:numId w:val="7"/>
        </w:numPr>
        <w:spacing w:before="120" w:line="269" w:lineRule="auto"/>
        <w:ind w:left="720" w:leftChars="0" w:hanging="360" w:firstLineChars="0"/>
        <w:jc w:val="both"/>
      </w:pPr>
      <w:r>
        <w:rPr>
          <w:b/>
          <w:sz w:val="20"/>
        </w:rPr>
        <w:t>Certified Public Accountant (CPA)</w:t>
      </w:r>
    </w:p>
    <w:p w14:paraId="019971DA">
      <w:pPr>
        <w:pStyle w:val="13"/>
        <w:numPr>
          <w:ilvl w:val="0"/>
          <w:numId w:val="7"/>
        </w:numPr>
        <w:spacing w:before="120" w:line="269" w:lineRule="auto"/>
        <w:ind w:left="720" w:leftChars="0" w:hanging="360" w:firstLineChars="0"/>
        <w:jc w:val="both"/>
        <w:rPr>
          <w:b/>
          <w:sz w:val="20"/>
        </w:rPr>
      </w:pPr>
      <w:r>
        <w:rPr>
          <w:b/>
          <w:sz w:val="20"/>
        </w:rPr>
        <w:t>Chartered Institute of Management Accountants (CIMA)</w:t>
      </w:r>
    </w:p>
    <w:p w14:paraId="6FF6D75B">
      <w:pPr>
        <w:pStyle w:val="13"/>
        <w:spacing w:before="120" w:line="269" w:lineRule="auto"/>
        <w:rPr>
          <w:b/>
          <w:sz w:val="20"/>
        </w:rPr>
      </w:pPr>
    </w:p>
    <w:p w14:paraId="32D59165">
      <w:pPr>
        <w:shd w:val="clear" w:color="auto" w:fill="44526A"/>
        <w:spacing w:before="240" w:line="269" w:lineRule="auto"/>
        <w:jc w:val="center"/>
      </w:pPr>
      <w:r>
        <w:rPr>
          <w:b/>
          <w:color w:val="FFFFFF"/>
          <w:sz w:val="22"/>
        </w:rPr>
        <w:t>TECHNOLOGY STACK</w:t>
      </w:r>
    </w:p>
    <w:tbl>
      <w:tblPr>
        <w:tblStyle w:val="12"/>
        <w:tblW w:w="0" w:type="auto"/>
        <w:tblInd w:w="0" w:type="dxa"/>
        <w:tblLayout w:type="autofit"/>
        <w:tblCellMar>
          <w:top w:w="0" w:type="dxa"/>
          <w:left w:w="108" w:type="dxa"/>
          <w:bottom w:w="0" w:type="dxa"/>
          <w:right w:w="108" w:type="dxa"/>
        </w:tblCellMar>
      </w:tblPr>
      <w:tblGrid>
        <w:gridCol w:w="2448"/>
        <w:gridCol w:w="8141"/>
      </w:tblGrid>
      <w:tr w14:paraId="475B1323">
        <w:tc>
          <w:tcPr>
            <w:tcW w:w="2448" w:type="dxa"/>
          </w:tcPr>
          <w:p w14:paraId="096D153A">
            <w:pPr>
              <w:spacing w:line="269" w:lineRule="auto"/>
            </w:pPr>
            <w:r>
              <w:rPr>
                <w:b/>
                <w:sz w:val="20"/>
              </w:rPr>
              <w:t>Data Viz &amp; Reporting</w:t>
            </w:r>
          </w:p>
        </w:tc>
        <w:tc>
          <w:tcPr>
            <w:tcW w:w="8141" w:type="dxa"/>
          </w:tcPr>
          <w:p w14:paraId="0A689362">
            <w:pPr>
              <w:spacing w:line="269" w:lineRule="auto"/>
            </w:pPr>
            <w:r>
              <w:rPr>
                <w:sz w:val="20"/>
              </w:rPr>
              <w:t>Power BI, Tableau</w:t>
            </w:r>
          </w:p>
        </w:tc>
      </w:tr>
      <w:tr w14:paraId="2F95C592">
        <w:tc>
          <w:tcPr>
            <w:tcW w:w="2448" w:type="dxa"/>
          </w:tcPr>
          <w:p w14:paraId="5DA9CD7D">
            <w:pPr>
              <w:spacing w:line="269" w:lineRule="auto"/>
            </w:pPr>
            <w:r>
              <w:rPr>
                <w:b/>
                <w:sz w:val="20"/>
              </w:rPr>
              <w:t>Analytics, Data Science &amp; Platforms</w:t>
            </w:r>
          </w:p>
        </w:tc>
        <w:tc>
          <w:tcPr>
            <w:tcW w:w="8141" w:type="dxa"/>
          </w:tcPr>
          <w:p w14:paraId="28B0952D">
            <w:pPr>
              <w:spacing w:line="269" w:lineRule="auto"/>
            </w:pPr>
            <w:r>
              <w:rPr>
                <w:sz w:val="20"/>
              </w:rPr>
              <w:t>Python, SQL, Alteryx, Dataiku, Data Warehouse, Hadoop Data Lake</w:t>
            </w:r>
          </w:p>
        </w:tc>
      </w:tr>
      <w:tr w14:paraId="4E6448FB">
        <w:tc>
          <w:tcPr>
            <w:tcW w:w="2448" w:type="dxa"/>
          </w:tcPr>
          <w:p w14:paraId="686894C5">
            <w:pPr>
              <w:spacing w:line="269" w:lineRule="auto"/>
            </w:pPr>
            <w:r>
              <w:rPr>
                <w:b/>
                <w:sz w:val="20"/>
              </w:rPr>
              <w:t>AI &amp; Emerging Tech</w:t>
            </w:r>
          </w:p>
        </w:tc>
        <w:tc>
          <w:tcPr>
            <w:tcW w:w="8141" w:type="dxa"/>
          </w:tcPr>
          <w:p w14:paraId="19D524FC">
            <w:pPr>
              <w:spacing w:line="269" w:lineRule="auto"/>
            </w:pPr>
            <w:r>
              <w:rPr>
                <w:sz w:val="20"/>
              </w:rPr>
              <w:t>Generative AI / LLMs, Claude Code, GitHub Copilot</w:t>
            </w:r>
          </w:p>
        </w:tc>
      </w:tr>
      <w:tr w14:paraId="1F4CE16E">
        <w:tc>
          <w:tcPr>
            <w:tcW w:w="2448" w:type="dxa"/>
          </w:tcPr>
          <w:p w14:paraId="1C88365D">
            <w:pPr>
              <w:spacing w:line="269" w:lineRule="auto"/>
            </w:pPr>
            <w:r>
              <w:rPr>
                <w:b/>
                <w:sz w:val="20"/>
              </w:rPr>
              <w:t>Delivery &amp; Collaboration</w:t>
            </w:r>
          </w:p>
        </w:tc>
        <w:tc>
          <w:tcPr>
            <w:tcW w:w="8141" w:type="dxa"/>
          </w:tcPr>
          <w:p w14:paraId="570AB635">
            <w:pPr>
              <w:spacing w:line="269" w:lineRule="auto"/>
            </w:pPr>
            <w:r>
              <w:rPr>
                <w:sz w:val="20"/>
              </w:rPr>
              <w:t>Jira, Confluence, Bitbucket, Agile, SDLC</w:t>
            </w:r>
          </w:p>
        </w:tc>
      </w:tr>
      <w:tr w14:paraId="30D28997">
        <w:tc>
          <w:tcPr>
            <w:tcW w:w="2448" w:type="dxa"/>
          </w:tcPr>
          <w:p w14:paraId="730539FA">
            <w:pPr>
              <w:spacing w:line="269" w:lineRule="auto"/>
            </w:pPr>
            <w:r>
              <w:rPr>
                <w:b/>
                <w:sz w:val="20"/>
              </w:rPr>
              <w:t>Governance &amp; Quality</w:t>
            </w:r>
          </w:p>
        </w:tc>
        <w:tc>
          <w:tcPr>
            <w:tcW w:w="8141" w:type="dxa"/>
          </w:tcPr>
          <w:p w14:paraId="782B960D">
            <w:pPr>
              <w:spacing w:line="269" w:lineRule="auto"/>
            </w:pPr>
            <w:r>
              <w:rPr>
                <w:sz w:val="20"/>
              </w:rPr>
              <w:t>Three Lines of Defence (3LoD), APRA Data Risk Guidelines (CPG 235), Data Under Governance (DUG), Product Lifecycle Management</w:t>
            </w:r>
          </w:p>
        </w:tc>
      </w:tr>
    </w:tbl>
    <w:p w14:paraId="0BC3949D">
      <w:pPr>
        <w:pStyle w:val="13"/>
        <w:spacing w:before="360" w:line="269" w:lineRule="auto"/>
        <w:jc w:val="center"/>
      </w:pPr>
      <w:r>
        <w:rPr>
          <w:b/>
          <w:i/>
          <w:sz w:val="20"/>
          <w:u w:val="none"/>
        </w:rPr>
        <w:t>-References available upon request-</w:t>
      </w:r>
    </w:p>
    <w:sectPr>
      <w:pgSz w:w="11910" w:h="16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E63190"/>
    <w:multiLevelType w:val="singleLevel"/>
    <w:tmpl w:val="F7E631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A62D7"/>
    <w:rsid w:val="765719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2013-12-24T19:15:00Z</dcterms:created>
  <dc:creator>python-docx</dc:creator>
  <dc:description>generated by python-docx</dc:description>
  <cp:lastModifiedBy>WPS_1767227127</cp:lastModifiedBy>
  <dcterms:modified xsi:type="dcterms:W3CDTF">2026-05-30T15:39:36Z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960B8F1D58F366EE5D761A6ADECF6D49_42</vt:lpwstr>
  </property>
</Properties>
</file>