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sz w:val="72"/>
        </w:rPr>
        <w:t>Max Liu</w:t>
      </w:r>
    </w:p>
    <w:p>
      <w:pPr>
        <w:spacing w:before="0" w:after="80"/>
        <w:jc w:val="center"/>
      </w:pPr>
      <w:r>
        <w:rPr>
          <w:rFonts w:ascii="Calibri" w:hAnsi="Calibri"/>
          <w:sz w:val="32"/>
        </w:rPr>
        <w:t>0426 582 002 | jirong.liu@outlook.com</w:t>
      </w:r>
    </w:p>
    <w:p>
      <w:pPr>
        <w:spacing w:before="0" w:after="120"/>
        <w:jc w:val="center"/>
      </w:pPr>
      <w:r>
        <w:rPr>
          <w:rFonts w:ascii="Calibri" w:hAnsi="Calibri"/>
          <w:b/>
          <w:color w:val="44526A"/>
          <w:sz w:val="40"/>
        </w:rPr>
        <w:t>Data &amp; AI Strategy | Value Realisation | Enterprise Transformation</w:t>
      </w:r>
    </w:p>
    <w:p>
      <w:pPr>
        <w:spacing w:before="80" w:after="40"/>
      </w:pPr>
      <w:r>
        <w:rPr>
          <w:rFonts w:ascii="Calibri" w:hAnsi="Calibri"/>
          <w:sz w:val="28"/>
        </w:rPr>
        <w:t>Strategic data and AI leader with over 10 years of experience shaping and delivering enterprise-level data strategy across large, complex financial services organisations. Combines hands-on consulting discipline (PwC) with deep industry experience leading cross-functional transformation at Macquarie Group — directly relevant to navigating matrixed environments and driving alignment without formal authority. Proven track record of building business cases for data and AI initiatives that deliver measurable value: unlocked $5B in commercial assets, saved 80,000+ FTE hours, and automated 30+ operational processes through advanced analytics. Experienced in engaging at Group Executive level, translating complex data and AI concepts into actionable strategic recommendations, and partnering with divisional Heads of Data, IT, and senior business stakeholders to drive outcomes through strategic programs. Strong communication and presentation skills honed through regular executive forums, cross-functional stakeholder engagement, and thought leadership initiatives — underpinned by deep experience in data governance, digital risk management, and regulatory compliance within a highly regulated financial services environment.</w:t>
      </w:r>
    </w:p>
    <w:p>
      <w:pPr>
        <w:spacing w:before="240" w:after="60"/>
        <w:jc w:val="center"/>
        <w:shd w:val="clear" w:fill="44526A"/>
      </w:pPr>
      <w:r>
        <w:rPr>
          <w:rFonts w:ascii="Calibri" w:hAnsi="Calibri"/>
          <w:b/>
          <w:color w:val="FFFFFF"/>
          <w:sz w:val="40"/>
        </w:rPr>
        <w:t>AREAS OF EXPERTISE</w:t>
      </w:r>
    </w:p>
    <w:p>
      <w:pPr>
        <w:spacing w:before="80" w:after="40"/>
      </w:pPr>
      <w:r>
        <w:rPr>
          <w:rFonts w:ascii="Calibri" w:hAnsi="Calibri"/>
          <w:sz w:val="28"/>
        </w:rPr>
        <w:t>Enterprise Data &amp; AI Strategy</w:t>
      </w:r>
      <w:r>
        <w:rPr>
          <w:rFonts w:ascii="Wingdings" w:hAnsi="Wingdings"/>
          <w:color w:val="1D4575"/>
          <w:sz w:val="28"/>
        </w:rPr>
        <w:t xml:space="preserve"> l </w:t>
      </w:r>
      <w:r>
        <w:rPr>
          <w:rFonts w:ascii="Calibri" w:hAnsi="Calibri"/>
          <w:sz w:val="28"/>
        </w:rPr>
        <w:t>Value Realisation &amp; Strategy Implementation</w:t>
      </w:r>
      <w:r>
        <w:rPr>
          <w:rFonts w:ascii="Wingdings" w:hAnsi="Wingdings"/>
          <w:color w:val="1D4575"/>
          <w:sz w:val="28"/>
        </w:rPr>
        <w:t xml:space="preserve"> l </w:t>
      </w:r>
      <w:r>
        <w:rPr>
          <w:rFonts w:ascii="Calibri" w:hAnsi="Calibri"/>
          <w:sz w:val="28"/>
        </w:rPr>
        <w:t>Strategic Portfolio Management</w:t>
      </w:r>
      <w:r>
        <w:rPr>
          <w:rFonts w:ascii="Wingdings" w:hAnsi="Wingdings"/>
          <w:color w:val="1D4575"/>
          <w:sz w:val="28"/>
        </w:rPr>
        <w:t xml:space="preserve"> l </w:t>
      </w:r>
      <w:r>
        <w:rPr>
          <w:rFonts w:ascii="Calibri" w:hAnsi="Calibri"/>
          <w:sz w:val="28"/>
        </w:rPr>
        <w:t>Business Case Development</w:t>
      </w:r>
      <w:r>
        <w:rPr>
          <w:rFonts w:ascii="Wingdings" w:hAnsi="Wingdings"/>
          <w:color w:val="1D4575"/>
          <w:sz w:val="28"/>
        </w:rPr>
        <w:t xml:space="preserve"> l </w:t>
      </w:r>
      <w:r>
        <w:rPr>
          <w:rFonts w:ascii="Calibri" w:hAnsi="Calibri"/>
          <w:sz w:val="28"/>
        </w:rPr>
        <w:t>Strategic Planning</w:t>
      </w:r>
      <w:r>
        <w:rPr>
          <w:rFonts w:ascii="Wingdings" w:hAnsi="Wingdings"/>
          <w:color w:val="1D4575"/>
          <w:sz w:val="28"/>
        </w:rPr>
        <w:t xml:space="preserve"> l </w:t>
      </w:r>
      <w:r>
        <w:rPr>
          <w:rFonts w:ascii="Calibri" w:hAnsi="Calibri"/>
          <w:sz w:val="28"/>
        </w:rPr>
        <w:t>Data-Driven Culture Change &amp; Literacy</w:t>
      </w:r>
      <w:r>
        <w:rPr>
          <w:rFonts w:ascii="Wingdings" w:hAnsi="Wingdings"/>
          <w:color w:val="1D4575"/>
          <w:sz w:val="28"/>
        </w:rPr>
        <w:t xml:space="preserve"> l </w:t>
      </w:r>
      <w:r>
        <w:rPr>
          <w:rFonts w:ascii="Calibri" w:hAnsi="Calibri"/>
          <w:sz w:val="28"/>
        </w:rPr>
        <w:t>Executive Communication &amp; Presentation</w:t>
      </w:r>
      <w:r>
        <w:rPr>
          <w:rFonts w:ascii="Wingdings" w:hAnsi="Wingdings"/>
          <w:color w:val="1D4575"/>
          <w:sz w:val="28"/>
        </w:rPr>
        <w:t xml:space="preserve"> l </w:t>
      </w:r>
      <w:r>
        <w:rPr>
          <w:rFonts w:ascii="Calibri" w:hAnsi="Calibri"/>
          <w:sz w:val="28"/>
        </w:rPr>
        <w:t>Stakeholder Management &amp; Influencing Without Formal Authority</w:t>
      </w:r>
      <w:r>
        <w:rPr>
          <w:rFonts w:ascii="Wingdings" w:hAnsi="Wingdings"/>
          <w:color w:val="1D4575"/>
          <w:sz w:val="28"/>
        </w:rPr>
        <w:t xml:space="preserve"> l </w:t>
      </w:r>
      <w:r>
        <w:rPr>
          <w:rFonts w:ascii="Calibri" w:hAnsi="Calibri"/>
          <w:sz w:val="28"/>
        </w:rPr>
        <w:t>Cross-Functional Team Leadership</w:t>
      </w:r>
      <w:r>
        <w:rPr>
          <w:rFonts w:ascii="Wingdings" w:hAnsi="Wingdings"/>
          <w:color w:val="1D4575"/>
          <w:sz w:val="28"/>
        </w:rPr>
        <w:t xml:space="preserve"> l </w:t>
      </w:r>
      <w:r>
        <w:rPr>
          <w:rFonts w:ascii="Calibri" w:hAnsi="Calibri"/>
          <w:sz w:val="28"/>
        </w:rPr>
        <w:t>Reporting Framework Design</w:t>
      </w:r>
      <w:r>
        <w:rPr>
          <w:rFonts w:ascii="Wingdings" w:hAnsi="Wingdings"/>
          <w:color w:val="1D4575"/>
          <w:sz w:val="28"/>
        </w:rPr>
        <w:t xml:space="preserve"> l </w:t>
      </w:r>
      <w:r>
        <w:rPr>
          <w:rFonts w:ascii="Calibri" w:hAnsi="Calibri"/>
          <w:sz w:val="28"/>
        </w:rPr>
        <w:t>Enterprise Dashboard &amp; Visualisation Design</w:t>
      </w:r>
      <w:r>
        <w:rPr>
          <w:rFonts w:ascii="Wingdings" w:hAnsi="Wingdings"/>
          <w:color w:val="1D4575"/>
          <w:sz w:val="28"/>
        </w:rPr>
        <w:t xml:space="preserve"> l </w:t>
      </w:r>
      <w:r>
        <w:rPr>
          <w:rFonts w:ascii="Calibri" w:hAnsi="Calibri"/>
          <w:sz w:val="28"/>
        </w:rPr>
        <w:t>Data Architecture &amp; Solution Design</w:t>
      </w:r>
      <w:r>
        <w:rPr>
          <w:rFonts w:ascii="Wingdings" w:hAnsi="Wingdings"/>
          <w:color w:val="1D4575"/>
          <w:sz w:val="28"/>
        </w:rPr>
        <w:t xml:space="preserve"> l </w:t>
      </w:r>
      <w:r>
        <w:rPr>
          <w:rFonts w:ascii="Calibri" w:hAnsi="Calibri"/>
          <w:sz w:val="28"/>
        </w:rPr>
        <w:t>Technology Evaluation &amp; AI Innovation</w:t>
      </w:r>
      <w:r>
        <w:rPr>
          <w:rFonts w:ascii="Wingdings" w:hAnsi="Wingdings"/>
          <w:color w:val="1D4575"/>
          <w:sz w:val="28"/>
        </w:rPr>
        <w:t xml:space="preserve"> l </w:t>
      </w:r>
      <w:r>
        <w:rPr>
          <w:rFonts w:ascii="Calibri" w:hAnsi="Calibri"/>
          <w:sz w:val="28"/>
        </w:rPr>
        <w:t>Data Governance &amp; Regulatory Compliance</w:t>
      </w:r>
      <w:r>
        <w:rPr>
          <w:rFonts w:ascii="Wingdings" w:hAnsi="Wingdings"/>
          <w:color w:val="1D4575"/>
          <w:sz w:val="28"/>
        </w:rPr>
        <w:t xml:space="preserve"> l </w:t>
      </w:r>
      <w:r>
        <w:rPr>
          <w:rFonts w:ascii="Calibri" w:hAnsi="Calibri"/>
          <w:sz w:val="28"/>
        </w:rPr>
        <w:t>Risk Management</w:t>
      </w:r>
      <w:r>
        <w:rPr>
          <w:rFonts w:ascii="Wingdings" w:hAnsi="Wingdings"/>
          <w:color w:val="1D4575"/>
          <w:sz w:val="28"/>
        </w:rPr>
        <w:t xml:space="preserve"> l </w:t>
      </w:r>
      <w:r>
        <w:rPr>
          <w:rFonts w:ascii="Calibri" w:hAnsi="Calibri"/>
          <w:sz w:val="28"/>
        </w:rPr>
        <w:t>Navigating Ambiguity in Matrixed Organisations</w:t>
      </w:r>
      <w:r>
        <w:rPr>
          <w:rFonts w:ascii="Wingdings" w:hAnsi="Wingdings"/>
          <w:color w:val="1D4575"/>
          <w:sz w:val="28"/>
        </w:rPr>
        <w:t xml:space="preserve"> l </w:t>
      </w:r>
      <w:r>
        <w:rPr>
          <w:rFonts w:ascii="Calibri" w:hAnsi="Calibri"/>
          <w:sz w:val="28"/>
        </w:rPr>
        <w:t>Agile Program Delivery</w:t>
      </w:r>
      <w:r>
        <w:rPr>
          <w:rFonts w:ascii="Wingdings" w:hAnsi="Wingdings"/>
          <w:color w:val="1D4575"/>
          <w:sz w:val="28"/>
        </w:rPr>
        <w:t xml:space="preserve"> l </w:t>
      </w:r>
      <w:r>
        <w:rPr>
          <w:rFonts w:ascii="Calibri" w:hAnsi="Calibri"/>
          <w:sz w:val="28"/>
        </w:rPr>
        <w:t>Strategic Partnerships &amp; Vendor Management</w:t>
      </w:r>
      <w:r>
        <w:rPr>
          <w:rFonts w:ascii="Wingdings" w:hAnsi="Wingdings"/>
          <w:color w:val="1D4575"/>
          <w:sz w:val="28"/>
        </w:rPr>
        <w:t xml:space="preserve"> l </w:t>
      </w:r>
      <w:r>
        <w:rPr>
          <w:rFonts w:ascii="Calibri" w:hAnsi="Calibri"/>
          <w:sz w:val="28"/>
        </w:rPr>
        <w:t>Consulting &amp; Industry Expertise</w:t>
      </w:r>
    </w:p>
    <w:p>
      <w:pPr>
        <w:spacing w:before="240" w:after="60"/>
        <w:jc w:val="center"/>
        <w:shd w:val="clear" w:fill="44526A"/>
      </w:pPr>
      <w:r>
        <w:rPr>
          <w:rFonts w:ascii="Calibri" w:hAnsi="Calibri"/>
          <w:b/>
          <w:color w:val="FFFFFF"/>
          <w:sz w:val="40"/>
        </w:rPr>
        <w:t>PROFESSIONAL EXPERIENCE</w:t>
      </w:r>
    </w:p>
    <w:p>
      <w:pPr>
        <w:spacing w:before="200" w:after="0"/>
        <w:jc w:val="center"/>
      </w:pPr>
      <w:r>
        <w:rPr>
          <w:rFonts w:ascii="Calibri" w:hAnsi="Calibri"/>
          <w:b/>
          <w:color w:val="44526A"/>
          <w:sz w:val="40"/>
        </w:rPr>
        <w:t>Macquarie Group</w:t>
      </w:r>
    </w:p>
    <w:p>
      <w:pPr>
        <w:spacing w:before="0" w:after="40"/>
        <w:jc w:val="center"/>
        <w:shd w:val="clear" w:fill="D4DCE3"/>
      </w:pPr>
      <w:r>
        <w:rPr>
          <w:rFonts w:ascii="Calibri" w:hAnsi="Calibri"/>
          <w:b/>
          <w:sz w:val="32"/>
        </w:rPr>
        <w:t>Senior Manager – Data Analytics and Digital Transformation | Mar 2018 – Present</w:t>
      </w:r>
    </w:p>
    <w:p>
      <w:pPr>
        <w:spacing w:before="40" w:after="120"/>
        <w:ind w:left="360"/>
      </w:pPr>
      <w:r>
        <w:rPr>
          <w:rFonts w:ascii="Calibri" w:hAnsi="Calibri"/>
          <w:i/>
          <w:sz w:val="28"/>
        </w:rPr>
        <w:t>Lead a team of analytics and data professionals to shape and deliver data and AI strategy that drives enterprise value. Define strategic objectives, partner across divisions with business, risk, and technology leaders, and convert complex business challenges into scalable data products. Drive alignment without formal authority, build business cases for strategic data and AI initiatives, and ensure visibility of outcomes at senior leadership levels.</w:t>
      </w:r>
    </w:p>
    <w:p>
      <w:pPr>
        <w:spacing w:before="120" w:after="120"/>
        <w:ind w:left="360" w:hanging="180"/>
      </w:pPr>
      <w:r>
        <w:rPr>
          <w:rFonts w:ascii="Wingdings" w:hAnsi="Wingdings"/>
          <w:color w:val="1D4575"/>
          <w:sz w:val="28"/>
        </w:rPr>
        <w:t xml:space="preserve"> l </w:t>
      </w:r>
      <w:r>
        <w:rPr>
          <w:rFonts w:ascii="Calibri" w:hAnsi="Calibri"/>
          <w:b/>
          <w:sz w:val="28"/>
        </w:rPr>
        <w:t xml:space="preserve">Shaped and Delivered Enterprise Data and Analytics Strategy: </w:t>
      </w:r>
      <w:r>
        <w:rPr>
          <w:rFonts w:ascii="Calibri" w:hAnsi="Calibri"/>
          <w:sz w:val="28"/>
        </w:rPr>
        <w:t>Defined and executed the end-to-end data and analytics strategy for Group Treasury, partnering across divisions with business, risk, and technology teams. Designed reporting frameworks, established a data champions network, and embedded modern tools and digital governance — transforming a traditional finance function into a data-capable analytics operation within 12 months.</w:t>
      </w:r>
    </w:p>
    <w:p>
      <w:pPr>
        <w:spacing w:before="120" w:after="120"/>
        <w:ind w:left="360" w:hanging="180"/>
      </w:pPr>
      <w:r>
        <w:rPr>
          <w:rFonts w:ascii="Wingdings" w:hAnsi="Wingdings"/>
          <w:color w:val="1D4575"/>
          <w:sz w:val="28"/>
        </w:rPr>
        <w:t xml:space="preserve"> l </w:t>
      </w:r>
      <w:r>
        <w:rPr>
          <w:rFonts w:ascii="Calibri" w:hAnsi="Calibri"/>
          <w:b/>
          <w:sz w:val="28"/>
        </w:rPr>
        <w:t xml:space="preserve">Engaged Executive Stakeholders and Drove Alignment Across Divisions: </w:t>
      </w:r>
      <w:r>
        <w:rPr>
          <w:rFonts w:ascii="Calibri" w:hAnsi="Calibri"/>
          <w:sz w:val="28"/>
        </w:rPr>
        <w:t>Provided strategic counsel to Group Executive and senior leadership on data strategy, technology investments, and AI adoption — translating complex analytical concepts into actionable recommendations. Partnered with COG AI teams to contribute to group-wide AI products and governance, preparing materials for executive forums and influencing outcomes across the organisation without formal authority.</w:t>
      </w:r>
    </w:p>
    <w:p>
      <w:pPr>
        <w:spacing w:before="120" w:after="120"/>
        <w:ind w:left="360" w:hanging="180"/>
      </w:pPr>
      <w:r>
        <w:rPr>
          <w:rFonts w:ascii="Wingdings" w:hAnsi="Wingdings"/>
          <w:color w:val="1D4575"/>
          <w:sz w:val="28"/>
        </w:rPr>
        <w:t xml:space="preserve"> l </w:t>
      </w:r>
      <w:r>
        <w:rPr>
          <w:rFonts w:ascii="Calibri" w:hAnsi="Calibri"/>
          <w:b/>
          <w:sz w:val="28"/>
        </w:rPr>
        <w:t xml:space="preserve">Led Strategic Programs to Deliver Measurable Business Value: </w:t>
      </w:r>
      <w:r>
        <w:rPr>
          <w:rFonts w:ascii="Calibri" w:hAnsi="Calibri"/>
          <w:sz w:val="28"/>
        </w:rPr>
        <w:t>Delivered 10+ strategic transformation projects in agile environments, managing cross-functional teams of 10+ across Group Treasury, PMO, Risk, and Technology. Built business cases and automated 30+ operational processes, implemented 30+ workflows, and built 30+ Power BI dashboards — addressing 100+ data quality issues and surfacing richer insights for enterprise decision-making.</w:t>
      </w:r>
    </w:p>
    <w:p>
      <w:pPr>
        <w:spacing w:before="120" w:after="120"/>
        <w:ind w:left="360" w:hanging="180"/>
      </w:pPr>
      <w:r>
        <w:rPr>
          <w:rFonts w:ascii="Wingdings" w:hAnsi="Wingdings"/>
          <w:color w:val="1D4575"/>
          <w:sz w:val="28"/>
        </w:rPr>
        <w:t xml:space="preserve"> l </w:t>
      </w:r>
      <w:r>
        <w:rPr>
          <w:rFonts w:ascii="Calibri" w:hAnsi="Calibri"/>
          <w:b/>
          <w:sz w:val="28"/>
        </w:rPr>
        <w:t xml:space="preserve">Delivered High-Value Outcomes through Advanced Analytics: </w:t>
      </w:r>
      <w:r>
        <w:rPr>
          <w:rFonts w:ascii="Calibri" w:hAnsi="Calibri"/>
          <w:sz w:val="28"/>
        </w:rPr>
        <w:t>Led a predictive modelling solution automating monthly balance sheet analysis under stressed conditions, saving 80,000+ FTE hours and ~$120M annually. Created a behavioural segmentation solution enabling scenario modelling via Dataiku and Power BI, unlocking $5B in assets for business utilisation — articulating benefits, costs, and strategic value at senior leadership levels.</w:t>
      </w:r>
    </w:p>
    <w:p>
      <w:pPr>
        <w:spacing w:before="120" w:after="120"/>
        <w:ind w:left="360" w:hanging="180"/>
      </w:pPr>
      <w:r>
        <w:rPr>
          <w:rFonts w:ascii="Wingdings" w:hAnsi="Wingdings"/>
          <w:color w:val="1D4575"/>
          <w:sz w:val="28"/>
        </w:rPr>
        <w:t xml:space="preserve"> l </w:t>
      </w:r>
      <w:r>
        <w:rPr>
          <w:rFonts w:ascii="Calibri" w:hAnsi="Calibri"/>
          <w:b/>
          <w:sz w:val="28"/>
        </w:rPr>
        <w:t xml:space="preserve">Built Organisational Readiness for Data and AI at Scale: </w:t>
      </w:r>
      <w:r>
        <w:rPr>
          <w:rFonts w:ascii="Calibri" w:hAnsi="Calibri"/>
          <w:sz w:val="28"/>
        </w:rPr>
        <w:t>Drove enterprise-wide adoption of Alteryx and Power BI, delivering learning pathways with 200+ hours of training, user enablement channels, and governance requirements. Grew the practitioner community from under 30 to over 200 certified professionals within 12 months, with workspaces and workflow collections increasing by 10 times.</w:t>
      </w:r>
    </w:p>
    <w:p>
      <w:pPr>
        <w:spacing w:before="120" w:after="120"/>
        <w:ind w:left="360" w:hanging="180"/>
      </w:pPr>
      <w:r>
        <w:rPr>
          <w:rFonts w:ascii="Wingdings" w:hAnsi="Wingdings"/>
          <w:color w:val="1D4575"/>
          <w:sz w:val="28"/>
        </w:rPr>
        <w:t xml:space="preserve"> l </w:t>
      </w:r>
      <w:r>
        <w:rPr>
          <w:rFonts w:ascii="Calibri" w:hAnsi="Calibri"/>
          <w:b/>
          <w:sz w:val="28"/>
        </w:rPr>
        <w:t xml:space="preserve">Fostered AI Innovation and Strengthened Strategic Governance: </w:t>
      </w:r>
      <w:r>
        <w:rPr>
          <w:rFonts w:ascii="Calibri" w:hAnsi="Calibri"/>
          <w:sz w:val="28"/>
        </w:rPr>
        <w:t>Founded the Group Treasury AI Forum to raise awareness of emerging technologies including LLMs and Generative AI. Contributed to Financial Control Standards on data and model risk management, ensuring strategic programs operated within a well-governed, risk-aware environment aligned to enterprise requirements.</w:t>
      </w:r>
    </w:p>
    <w:p>
      <w:pPr>
        <w:spacing w:before="200" w:after="0"/>
        <w:jc w:val="center"/>
      </w:pPr>
      <w:r>
        <w:rPr>
          <w:rFonts w:ascii="Calibri" w:hAnsi="Calibri"/>
          <w:b/>
          <w:color w:val="44526A"/>
          <w:sz w:val="40"/>
        </w:rPr>
        <w:t>Commonwealth Bank of Australia</w:t>
      </w:r>
    </w:p>
    <w:p>
      <w:pPr>
        <w:spacing w:before="0" w:after="40"/>
        <w:jc w:val="center"/>
        <w:shd w:val="clear" w:fill="D4DCE3"/>
      </w:pPr>
      <w:r>
        <w:rPr>
          <w:rFonts w:ascii="Calibri" w:hAnsi="Calibri"/>
          <w:b/>
          <w:sz w:val="32"/>
        </w:rPr>
        <w:t>Analyst – Financial Planning &amp; Analysis, Institutional Bank &amp; Markets | Mar 2017 – Aug 2018</w:t>
      </w:r>
    </w:p>
    <w:p>
      <w:pPr>
        <w:spacing w:before="40" w:after="120"/>
        <w:ind w:left="360"/>
      </w:pPr>
      <w:r>
        <w:rPr>
          <w:rFonts w:ascii="Calibri" w:hAnsi="Calibri"/>
          <w:i/>
          <w:sz w:val="28"/>
        </w:rPr>
        <w:t>Partnered with divisional leaders to deliver data-driven analysis and strategic planning that informed enterprise decision-making. Translated complex datasets into actionable insights through concise presentations to senior stakeholders.</w:t>
      </w:r>
    </w:p>
    <w:p>
      <w:pPr>
        <w:spacing w:before="120" w:after="120"/>
        <w:ind w:left="374" w:hanging="187"/>
      </w:pPr>
      <w:r>
        <w:rPr>
          <w:rFonts w:ascii="Wingdings" w:hAnsi="Wingdings"/>
          <w:color w:val="1D4575"/>
          <w:sz w:val="28"/>
        </w:rPr>
        <w:t xml:space="preserve"> l </w:t>
      </w:r>
      <w:r>
        <w:rPr>
          <w:rFonts w:ascii="Calibri" w:hAnsi="Calibri"/>
          <w:sz w:val="28"/>
        </w:rPr>
        <w:t>Partnered with business leaders to develop annual budgets and rolling forecasts — gathering inputs, validating assumptions, and updating projections in response to evolving business conditions. Served as a trusted analytics partner, translating quantitative findings into practical strategic recommendations.</w:t>
      </w:r>
    </w:p>
    <w:p>
      <w:pPr>
        <w:spacing w:before="120" w:after="120"/>
        <w:ind w:left="374" w:hanging="187"/>
      </w:pPr>
      <w:r>
        <w:rPr>
          <w:rFonts w:ascii="Wingdings" w:hAnsi="Wingdings"/>
          <w:color w:val="1D4575"/>
          <w:sz w:val="28"/>
        </w:rPr>
        <w:t xml:space="preserve"> l </w:t>
      </w:r>
      <w:r>
        <w:rPr>
          <w:rFonts w:ascii="Calibri" w:hAnsi="Calibri"/>
          <w:sz w:val="28"/>
        </w:rPr>
        <w:t>Contributed to enterprise-wide strategic initiatives through detailed evaluations, scenario modelling, and business case development for new investments — linking data analysis directly to commercial outcomes and articulating value at the divisional level.</w:t>
      </w:r>
    </w:p>
    <w:p>
      <w:pPr>
        <w:spacing w:before="120" w:after="120"/>
        <w:ind w:left="374" w:hanging="187"/>
      </w:pPr>
      <w:r>
        <w:rPr>
          <w:rFonts w:ascii="Wingdings" w:hAnsi="Wingdings"/>
          <w:color w:val="1D4575"/>
          <w:sz w:val="28"/>
        </w:rPr>
        <w:t xml:space="preserve"> l </w:t>
      </w:r>
      <w:r>
        <w:rPr>
          <w:rFonts w:ascii="Calibri" w:hAnsi="Calibri"/>
          <w:sz w:val="28"/>
        </w:rPr>
        <w:t>Designed and maintained KPI and performance measurement frameworks across business units, identified performance variances through data interrogation, and recommended corrective actions — directly informing leadership decision-making and goal attainment.</w:t>
      </w:r>
    </w:p>
    <w:p>
      <w:pPr>
        <w:spacing w:before="200" w:after="0"/>
        <w:jc w:val="center"/>
      </w:pPr>
      <w:r>
        <w:rPr>
          <w:rFonts w:ascii="Calibri" w:hAnsi="Calibri"/>
          <w:b/>
          <w:color w:val="44526A"/>
          <w:sz w:val="40"/>
        </w:rPr>
        <w:t>Charter Hall Group</w:t>
      </w:r>
    </w:p>
    <w:p>
      <w:pPr>
        <w:spacing w:before="0" w:after="40"/>
        <w:jc w:val="center"/>
        <w:shd w:val="clear" w:fill="D4DCE3"/>
      </w:pPr>
      <w:r>
        <w:rPr>
          <w:rFonts w:ascii="Calibri" w:hAnsi="Calibri"/>
          <w:b/>
          <w:sz w:val="32"/>
        </w:rPr>
        <w:t>Treasury Officer | Oct 2016 – Mar 2017</w:t>
      </w:r>
    </w:p>
    <w:p>
      <w:pPr>
        <w:spacing w:before="40" w:after="120"/>
        <w:ind w:left="360"/>
      </w:pPr>
      <w:r>
        <w:rPr>
          <w:rFonts w:ascii="Calibri" w:hAnsi="Calibri"/>
          <w:i/>
          <w:sz w:val="28"/>
        </w:rPr>
        <w:t>Delivered financial analysis, forecasting, and risk reporting to senior stakeholders across multiple funds, supporting data-driven decision-making and strategic planning.</w:t>
      </w:r>
    </w:p>
    <w:p>
      <w:pPr>
        <w:spacing w:before="120" w:after="120"/>
        <w:ind w:left="374" w:hanging="187"/>
      </w:pPr>
      <w:r>
        <w:rPr>
          <w:rFonts w:ascii="Wingdings" w:hAnsi="Wingdings"/>
          <w:color w:val="1D4575"/>
          <w:sz w:val="28"/>
        </w:rPr>
        <w:t xml:space="preserve"> l </w:t>
      </w:r>
      <w:r>
        <w:rPr>
          <w:rFonts w:ascii="Calibri" w:hAnsi="Calibri"/>
          <w:sz w:val="28"/>
        </w:rPr>
        <w:t>Performed financial analysis to support funding strategies, forecasting, and operational planning — assessing the impact of cash movements and funding activities on fund performance and communicating findings to senior stakeholders.</w:t>
      </w:r>
    </w:p>
    <w:p>
      <w:pPr>
        <w:spacing w:before="120" w:after="120"/>
        <w:ind w:left="374" w:hanging="187"/>
      </w:pPr>
      <w:r>
        <w:rPr>
          <w:rFonts w:ascii="Wingdings" w:hAnsi="Wingdings"/>
          <w:color w:val="1D4575"/>
          <w:sz w:val="28"/>
        </w:rPr>
        <w:t xml:space="preserve"> l </w:t>
      </w:r>
      <w:r>
        <w:rPr>
          <w:rFonts w:ascii="Calibri" w:hAnsi="Calibri"/>
          <w:sz w:val="28"/>
        </w:rPr>
        <w:t>Identified financial risks including interest rate, foreign exchange, and liquidity exposure, and implemented risk mitigation strategies using quantitative models and financial instruments.</w:t>
      </w:r>
    </w:p>
    <w:p>
      <w:pPr>
        <w:spacing w:before="200" w:after="0"/>
        <w:jc w:val="center"/>
      </w:pPr>
      <w:r>
        <w:rPr>
          <w:rFonts w:ascii="Calibri" w:hAnsi="Calibri"/>
          <w:b/>
          <w:color w:val="44526A"/>
          <w:sz w:val="40"/>
        </w:rPr>
        <w:t>PwC</w:t>
      </w:r>
    </w:p>
    <w:p>
      <w:pPr>
        <w:spacing w:before="0" w:after="40"/>
        <w:jc w:val="center"/>
        <w:shd w:val="clear" w:fill="D4DCE3"/>
      </w:pPr>
      <w:r>
        <w:rPr>
          <w:rFonts w:ascii="Calibri" w:hAnsi="Calibri"/>
          <w:b/>
          <w:sz w:val="32"/>
        </w:rPr>
        <w:t>Senior Auditor | June 2014 – Oct 2016</w:t>
      </w:r>
    </w:p>
    <w:p>
      <w:pPr>
        <w:spacing w:before="40" w:after="120"/>
        <w:ind w:left="360"/>
      </w:pPr>
      <w:r>
        <w:rPr>
          <w:rFonts w:ascii="Calibri" w:hAnsi="Calibri"/>
          <w:i/>
          <w:sz w:val="28"/>
        </w:rPr>
        <w:t>Delivered independent data-driven assurance and advisory services to large, complex organisations. Defined project scope and objectives, interrogated large datasets, and produced clear, actionable reports for executive-level stakeholders.</w:t>
      </w:r>
    </w:p>
    <w:p>
      <w:pPr>
        <w:spacing w:before="120" w:after="120"/>
        <w:ind w:left="374" w:hanging="187"/>
      </w:pPr>
      <w:r>
        <w:rPr>
          <w:rFonts w:ascii="Wingdings" w:hAnsi="Wingdings"/>
          <w:color w:val="1D4575"/>
          <w:sz w:val="28"/>
        </w:rPr>
        <w:t xml:space="preserve"> l </w:t>
      </w:r>
      <w:r>
        <w:rPr>
          <w:rFonts w:ascii="Calibri" w:hAnsi="Calibri"/>
          <w:sz w:val="28"/>
        </w:rPr>
        <w:t>Supervised audit teams during fieldwork, ensuring quality execution while maintaining strong stakeholder relationships, facilitating regular communications, and managing expectations across multiple client environments.</w:t>
      </w:r>
    </w:p>
    <w:p>
      <w:pPr>
        <w:spacing w:before="120" w:after="120"/>
        <w:ind w:left="374" w:hanging="187"/>
      </w:pPr>
      <w:r>
        <w:rPr>
          <w:rFonts w:ascii="Wingdings" w:hAnsi="Wingdings"/>
          <w:color w:val="1D4575"/>
          <w:sz w:val="28"/>
        </w:rPr>
        <w:t xml:space="preserve"> l </w:t>
      </w:r>
      <w:r>
        <w:rPr>
          <w:rFonts w:ascii="Calibri" w:hAnsi="Calibri"/>
          <w:sz w:val="28"/>
        </w:rPr>
        <w:t>Performed end-to-end reviews encompassing control testing, substantive testing, and analytical procedures — interrogating large datasets to verify compliance with Australian Accounting Standards and IFRS.</w:t>
      </w:r>
    </w:p>
    <w:p>
      <w:pPr>
        <w:spacing w:before="120" w:after="120"/>
        <w:ind w:left="374" w:hanging="187"/>
      </w:pPr>
      <w:r>
        <w:rPr>
          <w:rFonts w:ascii="Wingdings" w:hAnsi="Wingdings"/>
          <w:color w:val="1D4575"/>
          <w:sz w:val="28"/>
        </w:rPr>
        <w:t xml:space="preserve"> l </w:t>
      </w:r>
      <w:r>
        <w:rPr>
          <w:rFonts w:ascii="Calibri" w:hAnsi="Calibri"/>
          <w:sz w:val="28"/>
        </w:rPr>
        <w:t>Conducted compliance reviews across multiple frameworks, distilling complex regulatory obligations into structured, auditable assessments — a skill directly transferable to translating complex data and AI concepts for diverse audiences.</w:t>
      </w:r>
    </w:p>
    <w:p>
      <w:pPr>
        <w:spacing w:before="0" w:after="0"/>
      </w:pPr>
      <w:r>
        <w:rPr>
          <w:rFonts w:ascii="Calibri" w:hAnsi="Calibri"/>
          <w:b/>
          <w:sz w:val="28"/>
        </w:rPr>
        <w:t>ADDITIONAL EXPERIENCE</w:t>
      </w:r>
    </w:p>
    <w:p>
      <w:pPr>
        <w:ind w:left="360"/>
      </w:pPr>
      <w:r>
        <w:rPr>
          <w:rFonts w:ascii="Calibri" w:hAnsi="Calibri"/>
          <w:sz w:val="28"/>
        </w:rPr>
        <w:t>Analyst – Financial Planning &amp; Analysis | Agricultural Bank of China, Aug 2011 – Nov 2013</w:t>
      </w:r>
    </w:p>
    <w:p>
      <w:pPr>
        <w:spacing w:before="240" w:after="60"/>
        <w:jc w:val="center"/>
        <w:shd w:val="clear" w:fill="44526A"/>
      </w:pPr>
      <w:r>
        <w:rPr>
          <w:rFonts w:ascii="Calibri" w:hAnsi="Calibri"/>
          <w:b/>
          <w:color w:val="FFFFFF"/>
          <w:sz w:val="40"/>
        </w:rPr>
        <w:t>EDUCATION &amp; QUALIFICATIONS</w:t>
      </w:r>
    </w:p>
    <w:p>
      <w:pPr>
        <w:spacing w:before="0" w:after="0"/>
      </w:pPr>
      <w:r>
        <w:rPr>
          <w:rFonts w:ascii="Calibri" w:hAnsi="Calibri"/>
          <w:b/>
          <w:sz w:val="28"/>
        </w:rPr>
        <w:t>EDUCATION</w:t>
      </w:r>
    </w:p>
    <w:p>
      <w:pPr>
        <w:spacing w:before="0" w:after="0"/>
        <w:ind w:left="360"/>
      </w:pPr>
      <w:r>
        <w:rPr>
          <w:rFonts w:ascii="Calibri" w:hAnsi="Calibri"/>
          <w:sz w:val="28"/>
        </w:rPr>
        <w:t>Master of Data Science, The University of Sydney (2021)</w:t>
      </w:r>
    </w:p>
    <w:p>
      <w:pPr>
        <w:spacing w:before="0" w:after="0"/>
        <w:ind w:left="360"/>
      </w:pPr>
      <w:r>
        <w:rPr>
          <w:rFonts w:ascii="Calibri" w:hAnsi="Calibri"/>
          <w:sz w:val="28"/>
        </w:rPr>
        <w:t>Master of Accounting, Macquarie University (2011)</w:t>
      </w:r>
    </w:p>
    <w:p>
      <w:pPr>
        <w:spacing w:before="0" w:after="0"/>
      </w:pPr>
      <w:r>
        <w:rPr>
          <w:rFonts w:ascii="Calibri" w:hAnsi="Calibri"/>
          <w:b/>
          <w:sz w:val="28"/>
        </w:rPr>
        <w:t>PROFESSIONAL QUALIFICATIONS</w:t>
      </w:r>
    </w:p>
    <w:p>
      <w:pPr>
        <w:spacing w:before="40" w:after="120"/>
        <w:ind w:left="360"/>
      </w:pPr>
      <w:r>
        <w:rPr>
          <w:rFonts w:ascii="Calibri" w:hAnsi="Calibri"/>
          <w:i/>
          <w:sz w:val="28"/>
        </w:rPr>
        <w:t>Chartered Accountant (CA) | Certified Public Accountant (CPA) | Chartered Institute of Management Accountants (CIMA)</w:t>
      </w:r>
    </w:p>
    <w:p>
      <w:pPr>
        <w:spacing w:before="240" w:after="60"/>
        <w:jc w:val="center"/>
        <w:shd w:val="clear" w:fill="44526A"/>
      </w:pPr>
      <w:r>
        <w:rPr>
          <w:rFonts w:ascii="Calibri" w:hAnsi="Calibri"/>
          <w:b/>
          <w:color w:val="FFFFFF"/>
          <w:sz w:val="40"/>
        </w:rPr>
        <w:t>TECHNOLOGY STACK</w:t>
      </w:r>
    </w:p>
    <w:p>
      <w:pPr>
        <w:spacing w:before="0" w:after="0"/>
      </w:pPr>
      <w:r>
        <w:rPr>
          <w:rFonts w:ascii="Calibri" w:hAnsi="Calibri"/>
          <w:b/>
          <w:sz w:val="28"/>
        </w:rPr>
        <w:t xml:space="preserve">Data &amp; AI Strategy, Governance &amp; Compliance: </w:t>
      </w:r>
      <w:r>
        <w:rPr>
          <w:rFonts w:ascii="Calibri" w:hAnsi="Calibri"/>
          <w:sz w:val="28"/>
        </w:rPr>
        <w:t>Strategic Planning, Business Case Development, Value Realisation, Data Governance, Risk Management, Regulatory Compliance (APRA CPG 235), Three Lines of Defence (3LoD)</w:t>
      </w:r>
    </w:p>
    <w:p>
      <w:pPr>
        <w:spacing w:before="0" w:after="0"/>
      </w:pPr>
      <w:r>
        <w:rPr>
          <w:rFonts w:ascii="Calibri" w:hAnsi="Calibri"/>
          <w:b/>
          <w:sz w:val="28"/>
        </w:rPr>
        <w:t xml:space="preserve">Analytics, Data Platforms &amp; Visualisation: </w:t>
      </w:r>
      <w:r>
        <w:rPr>
          <w:rFonts w:ascii="Calibri" w:hAnsi="Calibri"/>
          <w:sz w:val="28"/>
        </w:rPr>
        <w:t>Python, SQL, Alteryx, Dataiku, Data Warehouse, Hadoop Data Lake, Power BI, Tableau</w:t>
      </w:r>
    </w:p>
    <w:p>
      <w:pPr>
        <w:spacing w:before="0" w:after="0"/>
      </w:pPr>
      <w:r>
        <w:rPr>
          <w:rFonts w:ascii="Calibri" w:hAnsi="Calibri"/>
          <w:b/>
          <w:sz w:val="28"/>
        </w:rPr>
        <w:t xml:space="preserve">AI &amp; Emerging Tech: </w:t>
      </w:r>
      <w:r>
        <w:rPr>
          <w:rFonts w:ascii="Calibri" w:hAnsi="Calibri"/>
          <w:sz w:val="28"/>
        </w:rPr>
        <w:t>Generative AI / LLMs, Claude Code, GitHub Copilot</w:t>
      </w:r>
    </w:p>
    <w:p>
      <w:pPr>
        <w:spacing w:before="0" w:after="0"/>
      </w:pPr>
      <w:r>
        <w:rPr>
          <w:rFonts w:ascii="Calibri" w:hAnsi="Calibri"/>
          <w:b/>
          <w:sz w:val="28"/>
        </w:rPr>
        <w:t xml:space="preserve">Delivery &amp; Collaboration: </w:t>
      </w:r>
      <w:r>
        <w:rPr>
          <w:rFonts w:ascii="Calibri" w:hAnsi="Calibri"/>
          <w:sz w:val="28"/>
        </w:rPr>
        <w:t>Agile, SDLC, Jira, Confluence, Bitbucket</w:t>
      </w:r>
    </w:p>
    <w:p>
      <w:pPr>
        <w:jc w:val="center"/>
      </w:pPr>
      <w:r>
        <w:rPr>
          <w:rFonts w:ascii="Calibri" w:hAnsi="Calibri"/>
          <w:i/>
          <w:sz w:val="28"/>
        </w:rPr>
        <w:t>- References available upon request -</w:t>
      </w:r>
    </w:p>
    <w:sectPr w:rsidR="00FC693F" w:rsidRPr="0006063C" w:rsidSect="00034616">
      <w:pgSz w:w="18751" w:h="265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